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ascii="Times New Roman" w:hAnsi="Times New Roman" w:eastAsia="方正仿宋简体" w:cs="Times New Roman"/>
          <w:kern w:val="0"/>
          <w:sz w:val="32"/>
          <w:szCs w:val="32"/>
        </w:rPr>
      </w:pPr>
      <w:r>
        <w:rPr>
          <w:rFonts w:hint="eastAsia" w:ascii="Times New Roman" w:eastAsia="方正仿宋简体" w:cs="方正仿宋简体"/>
          <w:kern w:val="0"/>
          <w:sz w:val="32"/>
          <w:szCs w:val="32"/>
        </w:rPr>
        <w:t>附件</w:t>
      </w:r>
      <w:r>
        <w:rPr>
          <w:rFonts w:ascii="Times New Roman" w:hAnsi="Times New Roman" w:eastAsia="方正仿宋简体" w:cs="Times New Roman"/>
          <w:kern w:val="0"/>
          <w:sz w:val="32"/>
          <w:szCs w:val="32"/>
        </w:rPr>
        <w:t>3</w:t>
      </w:r>
    </w:p>
    <w:p>
      <w:pPr>
        <w:widowControl/>
        <w:spacing w:line="540" w:lineRule="exact"/>
        <w:rPr>
          <w:rFonts w:ascii="Times New Roman" w:hAnsi="Times New Roman" w:cs="Times New Roman"/>
          <w:kern w:val="0"/>
          <w:sz w:val="24"/>
          <w:szCs w:val="24"/>
        </w:rPr>
      </w:pPr>
    </w:p>
    <w:p>
      <w:pPr>
        <w:widowControl/>
        <w:spacing w:line="54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2020</w:t>
      </w:r>
      <w:r>
        <w:rPr>
          <w:rFonts w:hint="eastAsia" w:ascii="Times New Roman" w:hAnsi="方正小标宋简体" w:eastAsia="方正小标宋简体" w:cs="方正小标宋简体"/>
          <w:kern w:val="0"/>
          <w:sz w:val="44"/>
          <w:szCs w:val="44"/>
        </w:rPr>
        <w:t>年部门预算绩效信息</w:t>
      </w:r>
    </w:p>
    <w:p>
      <w:pPr>
        <w:widowControl/>
        <w:adjustRightInd w:val="0"/>
        <w:spacing w:line="540" w:lineRule="exact"/>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第一部分</w:t>
      </w:r>
      <w:r>
        <w:rPr>
          <w:rFonts w:ascii="Times New Roman" w:hAnsi="Times New Roman" w:eastAsia="黑体" w:cs="Times New Roman"/>
          <w:kern w:val="0"/>
          <w:sz w:val="32"/>
          <w:szCs w:val="32"/>
        </w:rPr>
        <w:t xml:space="preserve">  </w:t>
      </w:r>
      <w:r>
        <w:rPr>
          <w:rFonts w:hint="eastAsia" w:ascii="Times New Roman" w:hAnsi="Times New Roman" w:eastAsia="黑体" w:cs="黑体"/>
          <w:kern w:val="0"/>
          <w:sz w:val="32"/>
          <w:szCs w:val="32"/>
        </w:rPr>
        <w:t>部门整体绩效目标</w:t>
      </w:r>
    </w:p>
    <w:p>
      <w:pPr>
        <w:ind w:firstLine="640" w:firstLineChars="200"/>
        <w:jc w:val="left"/>
        <w:outlineLvl w:val="1"/>
        <w:rPr>
          <w:rFonts w:ascii="方正楷体简体" w:hAnsi="黑体" w:eastAsia="方正楷体简体" w:cs="Times New Roman"/>
          <w:sz w:val="32"/>
          <w:szCs w:val="32"/>
        </w:rPr>
      </w:pPr>
      <w:r>
        <w:rPr>
          <w:rFonts w:hint="eastAsia" w:ascii="方正楷体简体" w:hAnsi="黑体" w:eastAsia="方正楷体简体" w:cs="方正楷体简体"/>
          <w:sz w:val="32"/>
          <w:szCs w:val="32"/>
        </w:rPr>
        <w:t>（一）总体绩效目标</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年度发展规划目标</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2020年，我局将进一步加强各项工作的推进，做好项目用地保障工作，全力推进上级要求的重点工作，做好项目单位和群众的服务工作，配合做好部门协调联动工作。</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2020年重点工作目标为：</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——落实征转报批3000亩；</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——土地收储完成10000亩；</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——实现土地出让金收益30亿元以上；</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——分包项目实现投资额5亿元</w:t>
      </w:r>
    </w:p>
    <w:p>
      <w:pPr>
        <w:ind w:firstLine="627" w:firstLineChars="196"/>
        <w:jc w:val="left"/>
        <w:outlineLvl w:val="1"/>
        <w:rPr>
          <w:rFonts w:ascii="方正楷体简体" w:hAnsi="黑体" w:eastAsia="方正楷体简体" w:cs="Times New Roman"/>
          <w:sz w:val="32"/>
          <w:szCs w:val="32"/>
        </w:rPr>
      </w:pPr>
      <w:r>
        <w:rPr>
          <w:rFonts w:hint="eastAsia" w:ascii="方正楷体简体" w:hAnsi="黑体" w:eastAsia="方正楷体简体" w:cs="方正楷体简体"/>
          <w:sz w:val="32"/>
          <w:szCs w:val="32"/>
        </w:rPr>
        <w:t>（二）分项绩效目标</w:t>
      </w:r>
      <w:r>
        <w:rPr>
          <w:rFonts w:ascii="方正楷体简体" w:hAnsi="黑体" w:eastAsia="方正楷体简体" w:cs="方正楷体简体"/>
          <w:sz w:val="32"/>
          <w:szCs w:val="32"/>
        </w:rPr>
        <w:fldChar w:fldCharType="begin"/>
      </w:r>
      <w:r>
        <w:rPr>
          <w:rFonts w:ascii="方正楷体简体" w:hAnsi="黑体" w:eastAsia="方正楷体简体" w:cs="Times New Roman"/>
          <w:sz w:val="32"/>
          <w:szCs w:val="32"/>
        </w:rPr>
        <w:instrText xml:space="preserve">tc "</w:instrText>
      </w:r>
      <w:bookmarkStart w:id="0" w:name="_Toc28866445"/>
      <w:r>
        <w:rPr>
          <w:rFonts w:hint="eastAsia" w:ascii="方正楷体简体" w:hAnsi="黑体" w:eastAsia="方正楷体简体" w:cs="方正楷体简体"/>
          <w:sz w:val="32"/>
          <w:szCs w:val="32"/>
        </w:rPr>
        <w:instrText xml:space="preserve">分项绩效目标</w:instrText>
      </w:r>
      <w:bookmarkEnd w:id="0"/>
      <w:r>
        <w:rPr>
          <w:rFonts w:ascii="方正楷体简体" w:hAnsi="黑体" w:eastAsia="方正楷体简体" w:cs="Times New Roman"/>
          <w:sz w:val="32"/>
          <w:szCs w:val="32"/>
        </w:rPr>
        <w:instrText xml:space="preserve">" \f A \l 0</w:instrText>
      </w:r>
      <w:r>
        <w:rPr>
          <w:rFonts w:ascii="方正楷体简体" w:hAnsi="黑体" w:eastAsia="方正楷体简体" w:cs="方正楷体简体"/>
          <w:sz w:val="32"/>
          <w:szCs w:val="32"/>
        </w:rPr>
        <w:instrText xml:space="preserve">1</w:instrText>
      </w:r>
      <w:r>
        <w:rPr>
          <w:rFonts w:ascii="方正楷体简体" w:hAnsi="黑体" w:eastAsia="方正楷体简体" w:cs="方正楷体简体"/>
          <w:sz w:val="32"/>
          <w:szCs w:val="32"/>
        </w:rPr>
        <w:fldChar w:fldCharType="end"/>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扎实基础，确保重点工作顺利实施。</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1）多种举措破解耕地占补平衡问题。积极与卢龙、抚宁等相关县区对接，协调购买占补平衡指标，用于下一步征转报批工作；结合留守营片区2110亩高标农田建设项目，将原有水浇地、旱地改造为水田，并提高耕地质量等别，以“补改结合”方式解决新区占补平衡水田规模和产能需求。</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2）高效完成组卷报批工作。结合新区重点项目和基础设施建设要求，做好2020年用地报批计划，拟上报用地3000亩，积极协调落实新增建设用地指标和补充耕地占补平衡指标，确保道路基础设施、民生、棚改、重点产业项目用地需求。</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3）加快推进土地收储工作。计划实施土地储备面积29000亩，确保全年完成土地收储10000亩。重点保障颐养街、赤洋路、滨海新大道D5段等基础设施项目，南戴河中学、长途客运站、中心区棚改等民生项目，产业港、石药集团、绿科产教基地、一龄药业等产业项目落地。</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4）认真组织土地供应工作，进一步加大批而未供、供而未用闲置土地的处置力度。在规划、林业等部门配合下，尽快完成规划条件、林地使用许可审批，积极筹措储备资金，完成土地储备，及时组织实施供地，2020年初步计划供应土地3000亩，实现土地出让金收益30亿元以上，确保圆满完成上级下达的批而未供土地处置任务。同时，认真做好批后监管工作，加大监管力度，督促项目及时开工建设，避免造成土地闲置。</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（5）适时做好用地规模争取工作。紧抓京津冀协同发展、国际健康城建设发展机遇，积极配合规划部门做好2020—2030国土空间规划编制工作，积极向上争取新增用地规模，保障新区重点项目建设的用地需求。</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6）开展土地利用总体规划局部修改工作。为使土地利用总体规划更加适应经济和社会发展的需要，按照国家、省有关要求，我们将充分结合新区发展的实际情况，结合城市规划、产业规划等相关规划，积极与相关部门沟通，认真做好土地利用总体规划局部修改工作，保障新区重点项目的发展。</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7）认真做好第三次全国国土调查工作。开展农村集体土地所有权补充调查工作，进一步完善土地调查、监测、成果信息化管理等工作，着力解决林地保护规划与土地利用现状不一致和历史遗留建设用地加注图斑属性问题，为新区的生态保护与开发建设提供有力保障，并按上级要求的时间节点完成三调数据库建设，2019年12月31日统一时点变更。</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8）规范土地储备流程，出台土地储备实施细则。为使土地储备工作做到有章可循，拟将多年来在土地储备工作实践中形成的收储意见进行汇总，并结合相关的法律、法规制定《秦皇岛北戴河新区储备土地及地上附着物补偿标准实施细则》，为今后土地储备工作提供政策支持；组织评估机构对新区附着物补偿标准，重新进行测算并形成新的标准，重点涉及水产养殖、水产品加工等传统产业的退出和储备。</w:t>
      </w:r>
    </w:p>
    <w:p>
      <w:pPr>
        <w:spacing w:line="500" w:lineRule="exact"/>
        <w:ind w:firstLine="560" w:firstLineChars="200"/>
        <w:jc w:val="left"/>
        <w:rPr>
          <w:rFonts w:ascii="Times New Roman" w:eastAsia="方正仿宋_GBK" w:cs="Times New Roman"/>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围绕重点，全力推进上级安排的重点工作。</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（1）开展地热资源管理工作。在前期工作完成的基础上，下一步将根据调查成果及开发利用规划，结合城市规划、产业规划，将地热资源规划融入到矿产资源规划中，作为审批地热资源的依据。</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（2）进行推进区域性地质灾害危险性评估、区域性压覆矿产资源评估工作，为新区项目建设提供有力保证。</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 xml:space="preserve">（3）持续优化不动产登记服务。进一步提升服务质量，积极与上级部门对接落实一窗受理任务安排；及时探索“互联网+不动产登记”服务模式，谋划开通网上预约、网上预审、网上查询和微信取证提醒等网上受办业务，让数据多跑路，让群众少跑腿；站在办事群众角度考虑问题，在合法合规的基础上合并业务受理模块，减少不必要的受理环节。 </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 xml:space="preserve"> （4）充分履行违法用地专项整治三年行动领导小组办公室、五项重点工作整治领导小组办公室、违建别墅专项整治领导小组办公室职责，全力督导、提示推进违建别墅排查整治、违法用地整改、例行督察发现问题整改、“两高”两侧300米范围内违法用地整治、2019年卫片执法检查及2019年全天候季度图斑整改工作，切实推进违法用地补办手续工作。</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（5）持续做好上级专项任务。全局上下强化责任担当，落实认识到位、履职到位，严格按照实施方案中节点要求，积极做好扫黑除恶专项整治工作。</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（6）为推进新区项目落地、立项等，认真开展土地预审、用地审查、一会四函工作。</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3.做好服务，确保分包项目稳步推进。</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作为葡萄岛旅游综合项目、万科香海枫丹、皇冠假日酒店及石药集团干细胞药物研发基地4个项目分包单位，我局将进一步自我加压，积极服务项目建设，及时协调解决存在问题。2020年计划分包项目计划投资5亿元。一是葡萄岛旅游综合项目，待换发不动产权证书后，全力推进新项目开工；二是万科香海枫丹项目，计划投资1亿元，年底工程全部竣工；三是皇冠假日酒店项目，计划投资2亿元，确保年内开工；四是石药集团干细胞药物研发基地项目，计划投资3亿元，力争年底前完成主体施工。</w:t>
      </w:r>
    </w:p>
    <w:p>
      <w:pPr>
        <w:spacing w:line="500" w:lineRule="exact"/>
        <w:ind w:firstLine="640" w:firstLineChars="200"/>
        <w:jc w:val="left"/>
        <w:outlineLvl w:val="1"/>
        <w:rPr>
          <w:rFonts w:ascii="方正楷体简体" w:hAnsi="黑体" w:eastAsia="方正楷体简体" w:cs="Times New Roman"/>
          <w:sz w:val="32"/>
          <w:szCs w:val="32"/>
        </w:rPr>
      </w:pPr>
      <w:r>
        <w:rPr>
          <w:rFonts w:hint="eastAsia" w:ascii="方正楷体简体" w:hAnsi="黑体" w:eastAsia="方正楷体简体" w:cs="方正楷体简体"/>
          <w:sz w:val="32"/>
          <w:szCs w:val="32"/>
        </w:rPr>
        <w:t>（三）工作保障措施</w:t>
      </w:r>
      <w:r>
        <w:rPr>
          <w:rFonts w:ascii="方正楷体简体" w:hAnsi="黑体" w:eastAsia="方正楷体简体" w:cs="方正楷体简体"/>
          <w:sz w:val="32"/>
          <w:szCs w:val="32"/>
        </w:rPr>
        <w:fldChar w:fldCharType="begin"/>
      </w:r>
      <w:r>
        <w:rPr>
          <w:rFonts w:ascii="方正楷体简体" w:hAnsi="黑体" w:eastAsia="方正楷体简体" w:cs="Times New Roman"/>
          <w:sz w:val="32"/>
          <w:szCs w:val="32"/>
        </w:rPr>
        <w:instrText xml:space="preserve">tc "</w:instrText>
      </w:r>
      <w:bookmarkStart w:id="1" w:name="_Toc28866446"/>
      <w:r>
        <w:rPr>
          <w:rFonts w:hint="eastAsia" w:ascii="方正楷体简体" w:hAnsi="黑体" w:eastAsia="方正楷体简体" w:cs="方正楷体简体"/>
          <w:sz w:val="32"/>
          <w:szCs w:val="32"/>
        </w:rPr>
        <w:instrText xml:space="preserve">工作保障措施</w:instrText>
      </w:r>
      <w:bookmarkEnd w:id="1"/>
      <w:r>
        <w:rPr>
          <w:rFonts w:ascii="方正楷体简体" w:hAnsi="黑体" w:eastAsia="方正楷体简体" w:cs="Times New Roman"/>
          <w:sz w:val="32"/>
          <w:szCs w:val="32"/>
        </w:rPr>
        <w:instrText xml:space="preserve">" \f A \l 0</w:instrText>
      </w:r>
      <w:r>
        <w:rPr>
          <w:rFonts w:ascii="方正楷体简体" w:hAnsi="黑体" w:eastAsia="方正楷体简体" w:cs="方正楷体简体"/>
          <w:sz w:val="32"/>
          <w:szCs w:val="32"/>
        </w:rPr>
        <w:instrText xml:space="preserve">1</w:instrText>
      </w:r>
      <w:r>
        <w:rPr>
          <w:rFonts w:ascii="方正楷体简体" w:hAnsi="黑体" w:eastAsia="方正楷体简体" w:cs="方正楷体简体"/>
          <w:sz w:val="32"/>
          <w:szCs w:val="32"/>
        </w:rPr>
        <w:fldChar w:fldCharType="end"/>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1.实现年度目标的保障举措</w:t>
      </w:r>
    </w:p>
    <w:p>
      <w:pPr>
        <w:spacing w:line="500" w:lineRule="exact"/>
        <w:ind w:firstLine="560" w:firstLineChars="200"/>
        <w:jc w:val="left"/>
        <w:rPr>
          <w:rFonts w:hint="eastAsia" w:ascii="Times New Roman" w:eastAsia="方正仿宋_GBK" w:cs="方正仿宋_GBK"/>
          <w:sz w:val="28"/>
          <w:szCs w:val="28"/>
        </w:rPr>
      </w:pPr>
      <w:r>
        <w:rPr>
          <w:rFonts w:hint="eastAsia" w:ascii="Times New Roman" w:eastAsia="方正仿宋_GBK" w:cs="方正仿宋_GBK"/>
          <w:sz w:val="28"/>
          <w:szCs w:val="28"/>
        </w:rPr>
        <w:t>坚持党管意识形态，加强阵地建设和管理，制定党组理论学习计划，抓实年度理论学习，推动机关党建与日常业务工作目标深度融合，紧密围绕业务工作制定党建工作计划，把业务发展的重点作为党建工作的主要内容，在安排部署上同时推进，积极整合各方力量，优化资源配置，在人力资源、财务资源、业务资源、时间安排上为党建工作的开展提供充分保障，确保机关党建与日常业务工作在战略主体力量上同步同力。同时，坚守初心使命，实施机关服务标准化建设，压缩办事时限，减少审批环节，改进服务方式，建立长效机制，实现机关办事大提速，工作大提效，执行能力大提高。</w:t>
      </w:r>
    </w:p>
    <w:p>
      <w:pPr>
        <w:tabs>
          <w:tab w:val="left" w:pos="628"/>
        </w:tabs>
        <w:ind w:firstLine="560" w:firstLineChars="200"/>
        <w:jc w:val="left"/>
        <w:rPr>
          <w:rFonts w:ascii="Times New Roman" w:hAnsi="微软雅黑" w:eastAsia="方正仿宋_GBK" w:cs="Times New Roman"/>
          <w:sz w:val="28"/>
          <w:szCs w:val="28"/>
        </w:rPr>
      </w:pPr>
    </w:p>
    <w:p>
      <w:pPr>
        <w:ind w:firstLine="560" w:firstLineChars="200"/>
        <w:jc w:val="center"/>
        <w:rPr>
          <w:rFonts w:ascii="Times New Roman" w:hAnsi="微软雅黑" w:eastAsia="方正仿宋_GBK" w:cs="Times New Roman"/>
          <w:sz w:val="28"/>
          <w:szCs w:val="28"/>
        </w:rPr>
      </w:pPr>
    </w:p>
    <w:p>
      <w:pPr>
        <w:ind w:firstLine="560" w:firstLineChars="200"/>
        <w:jc w:val="center"/>
        <w:rPr>
          <w:rFonts w:ascii="Times New Roman" w:hAnsi="微软雅黑" w:eastAsia="方正仿宋_GBK" w:cs="Times New Roman"/>
          <w:sz w:val="28"/>
          <w:szCs w:val="28"/>
        </w:rPr>
      </w:pPr>
    </w:p>
    <w:p>
      <w:pPr>
        <w:widowControl/>
        <w:adjustRightInd w:val="0"/>
        <w:spacing w:line="540" w:lineRule="exact"/>
        <w:jc w:val="center"/>
        <w:rPr>
          <w:rFonts w:ascii="Times New Roman" w:hAnsi="Times New Roman" w:eastAsia="黑体" w:cs="Times New Roman"/>
          <w:kern w:val="0"/>
          <w:sz w:val="32"/>
          <w:szCs w:val="32"/>
        </w:rPr>
      </w:pPr>
    </w:p>
    <w:p>
      <w:pPr>
        <w:widowControl/>
        <w:adjustRightInd w:val="0"/>
        <w:spacing w:line="540" w:lineRule="exact"/>
        <w:jc w:val="center"/>
        <w:rPr>
          <w:rFonts w:ascii="Times New Roman" w:hAnsi="Times New Roman" w:eastAsia="黑体" w:cs="Times New Roman"/>
          <w:kern w:val="0"/>
          <w:sz w:val="32"/>
          <w:szCs w:val="32"/>
        </w:rPr>
      </w:pPr>
    </w:p>
    <w:p>
      <w:pPr>
        <w:widowControl/>
        <w:adjustRightInd w:val="0"/>
        <w:spacing w:line="540" w:lineRule="exact"/>
        <w:jc w:val="center"/>
        <w:rPr>
          <w:rFonts w:hint="eastAsia" w:ascii="Times New Roman" w:hAnsi="Times New Roman" w:eastAsia="黑体"/>
          <w:kern w:val="0"/>
          <w:sz w:val="32"/>
          <w:szCs w:val="32"/>
        </w:rPr>
      </w:pPr>
      <w:r>
        <w:rPr>
          <w:rFonts w:hint="eastAsia" w:ascii="Times New Roman" w:hAnsi="Times New Roman" w:eastAsia="黑体"/>
          <w:kern w:val="0"/>
          <w:sz w:val="32"/>
          <w:szCs w:val="32"/>
        </w:rPr>
        <w:t>第二部分  专项资资金绩效目标</w:t>
      </w: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ascii="方正仿宋_GBK" w:eastAsia="方正仿宋_GBK"/>
          <w:b/>
          <w:sz w:val="28"/>
        </w:rPr>
        <w:t>1、高标农田建设工程费及监理费绩效目标表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1、完成工程费用支出</w:t>
            </w:r>
          </w:p>
          <w:p>
            <w:pPr>
              <w:spacing w:line="300" w:lineRule="exact"/>
              <w:jc w:val="left"/>
              <w:rPr>
                <w:rFonts w:ascii="方正书宋_GBK" w:eastAsia="方正书宋_GBK"/>
              </w:rPr>
            </w:pPr>
            <w:r>
              <w:rPr>
                <w:rFonts w:ascii="方正书宋_GBK" w:eastAsia="方正书宋_GBK"/>
              </w:rPr>
              <w:t>2、解决占补平衡难题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解决占补平衡难题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解决水田占补指标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≥90验收通过，获取指标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完成工程费用缴纳</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圆满完成工程任务</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≥90完成工程并或验收通过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解决占补平衡难题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解决水田指标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 xml:space="preserve">≥90完成验收通过 </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及时完成工程费用拨付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完成完成任务，获得验收</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≥90完成验收</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bl>
    <w:p>
      <w:pPr>
        <w:ind w:firstLine="562" w:firstLineChars="200"/>
        <w:jc w:val="left"/>
        <w:outlineLvl w:val="1"/>
        <w:rPr>
          <w:rFonts w:hint="eastAsia" w:ascii="方正仿宋_GBK" w:eastAsia="方正仿宋_GBK"/>
          <w:b/>
          <w:sz w:val="28"/>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p>
    <w:p>
      <w:pPr>
        <w:widowControl/>
        <w:adjustRightInd w:val="0"/>
        <w:spacing w:line="540" w:lineRule="exact"/>
        <w:jc w:val="center"/>
        <w:rPr>
          <w:rFonts w:hint="eastAsia" w:ascii="Times New Roman" w:hAnsi="Times New Roman" w:eastAsia="黑体"/>
          <w:kern w:val="0"/>
          <w:sz w:val="32"/>
          <w:szCs w:val="32"/>
        </w:rPr>
      </w:pPr>
      <w:r>
        <w:rPr>
          <w:rFonts w:hint="eastAsia" w:ascii="Times New Roman" w:hAnsi="Times New Roman" w:eastAsia="黑体"/>
          <w:kern w:val="0"/>
          <w:sz w:val="32"/>
          <w:szCs w:val="32"/>
        </w:rPr>
        <w:t>第三部分  预算项目绩效目标</w:t>
      </w:r>
    </w:p>
    <w:p>
      <w:pPr>
        <w:widowControl/>
        <w:adjustRightInd w:val="0"/>
        <w:spacing w:line="540" w:lineRule="exact"/>
        <w:jc w:val="center"/>
        <w:rPr>
          <w:rFonts w:hint="eastAsia" w:ascii="方正仿宋简体" w:hAnsi="Times New Roman" w:eastAsia="方正仿宋简体"/>
          <w:kern w:val="0"/>
          <w:sz w:val="28"/>
          <w:szCs w:val="28"/>
        </w:rPr>
      </w:pPr>
    </w:p>
    <w:p>
      <w:pPr>
        <w:ind w:firstLine="562" w:firstLineChars="200"/>
        <w:jc w:val="left"/>
        <w:outlineLvl w:val="1"/>
        <w:rPr>
          <w:rFonts w:ascii="Times New Roman" w:hAnsi="宋体"/>
          <w:b/>
          <w:sz w:val="28"/>
        </w:rPr>
      </w:pPr>
      <w:r>
        <w:rPr>
          <w:rFonts w:ascii="方正仿宋_GBK" w:eastAsia="方正仿宋_GBK"/>
          <w:b/>
          <w:sz w:val="28"/>
        </w:rPr>
        <w:t>1、补充耕地指标转让费绩效目标表</w:t>
      </w:r>
      <w:r>
        <w:fldChar w:fldCharType="begin"/>
      </w:r>
      <w:r>
        <w:rPr>
          <w:rFonts w:ascii="方正仿宋_GBK" w:eastAsia="方正仿宋_GBK"/>
          <w:b/>
          <w:sz w:val="28"/>
        </w:rPr>
        <w:instrText xml:space="preserve"> TC </w:instrText>
      </w:r>
      <w:bookmarkStart w:id="2" w:name="_Toc28866447"/>
      <w:r>
        <w:rPr>
          <w:rFonts w:ascii="方正仿宋_GBK" w:eastAsia="方正仿宋_GBK"/>
          <w:b/>
          <w:sz w:val="28"/>
        </w:rPr>
        <w:instrText xml:space="preserve">1、办案业务、办案设备及科技强检经费绩效目标表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1、完成费用拨付</w:t>
            </w:r>
          </w:p>
          <w:p>
            <w:pPr>
              <w:spacing w:line="300" w:lineRule="exact"/>
              <w:jc w:val="left"/>
              <w:rPr>
                <w:rFonts w:ascii="方正书宋_GBK" w:eastAsia="方正书宋_GBK"/>
              </w:rPr>
            </w:pPr>
            <w:r>
              <w:rPr>
                <w:rFonts w:ascii="方正书宋_GBK" w:eastAsia="方正书宋_GBK"/>
              </w:rPr>
              <w:t>2、取得占补指标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保障土地供应</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解决占补平衡</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≥90解决占补难题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完成费用拨付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获取占补指标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≥90完成费用拨付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获取指标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解决占补难题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完成费用拨付</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≥90解决占补难题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保障项目供地</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解决占补</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≥90解决占补平衡</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bl>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2</w:t>
      </w:r>
      <w:r>
        <w:rPr>
          <w:rFonts w:ascii="方正仿宋_GBK" w:eastAsia="方正仿宋_GBK"/>
          <w:b/>
          <w:sz w:val="28"/>
        </w:rPr>
        <w:t>、补助被征地农民支出（国土部门）绩效目标表</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1、完成缴纳社保及风险基金</w:t>
            </w:r>
          </w:p>
          <w:p>
            <w:pPr>
              <w:spacing w:line="300" w:lineRule="exact"/>
              <w:jc w:val="left"/>
              <w:rPr>
                <w:rFonts w:ascii="方正书宋_GBK" w:eastAsia="方正书宋_GBK"/>
              </w:rPr>
            </w:pPr>
            <w:r>
              <w:rPr>
                <w:rFonts w:ascii="方正书宋_GBK" w:eastAsia="方正书宋_GBK"/>
              </w:rPr>
              <w:t>2、完成征转报批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及时缴纳社保费</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完成费用缴纳</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≥90完成费用缴纳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获得批复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完成社保费用缴纳</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≥90完成费用缴纳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费用缴纳</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≥90完成费用缴纳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保障农民权益</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费用缴纳</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≥90完成缴纳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bl>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ascii="Times New Roman" w:hAnsi="宋体" w:eastAsia="宋体"/>
          <w:b/>
          <w:sz w:val="28"/>
        </w:rPr>
      </w:pPr>
      <w:r>
        <w:rPr>
          <w:rFonts w:hint="eastAsia" w:ascii="方正仿宋_GBK" w:eastAsia="方正仿宋_GBK"/>
          <w:b/>
          <w:sz w:val="28"/>
          <w:lang w:val="en-US" w:eastAsia="zh-CN"/>
        </w:rPr>
        <w:t>3</w:t>
      </w:r>
      <w:r>
        <w:rPr>
          <w:rFonts w:ascii="方正仿宋_GBK" w:eastAsia="方正仿宋_GBK"/>
          <w:b/>
          <w:sz w:val="28"/>
        </w:rPr>
        <w:t>、第三次全国国土调查工作经费绩效目标表</w:t>
      </w:r>
      <w:r>
        <w:fldChar w:fldCharType="begin"/>
      </w:r>
      <w:r>
        <w:rPr>
          <w:rFonts w:ascii="方正仿宋_GBK" w:eastAsia="方正仿宋_GBK"/>
          <w:b/>
          <w:sz w:val="28"/>
        </w:rPr>
        <w:instrText xml:space="preserve"> TC </w:instrText>
      </w:r>
      <w:bookmarkStart w:id="3" w:name="_Toc28870494"/>
      <w:r>
        <w:rPr>
          <w:rFonts w:ascii="方正仿宋_GBK" w:eastAsia="方正仿宋_GBK"/>
          <w:b/>
          <w:sz w:val="28"/>
        </w:rPr>
        <w:instrText xml:space="preserve">3、第三次全国国土调查工作经费绩效目标表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1、完成调查任务</w:t>
            </w:r>
          </w:p>
          <w:p>
            <w:pPr>
              <w:spacing w:line="300" w:lineRule="exact"/>
              <w:jc w:val="left"/>
              <w:rPr>
                <w:rFonts w:ascii="方正书宋_GBK" w:eastAsia="方正书宋_GBK"/>
              </w:rPr>
            </w:pPr>
            <w:r>
              <w:rPr>
                <w:rFonts w:ascii="方正书宋_GBK" w:eastAsia="方正书宋_GBK"/>
              </w:rPr>
              <w:t>2、获得国家批复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完成调查任务</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完成全部调查工作</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≥90完成任务目标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获得国家验收通过</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完成验收</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≥90完成验收</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完成调查任务</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完成验收</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≥90完成验收</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提升服务水平</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完成国家验收</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≥90国家验收</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90以上为优;80-89为良好;80以下为差</w:t>
            </w:r>
          </w:p>
        </w:tc>
      </w:tr>
    </w:tbl>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4</w:t>
      </w:r>
      <w:r>
        <w:rPr>
          <w:rFonts w:ascii="方正仿宋_GBK" w:eastAsia="方正仿宋_GBK"/>
          <w:b/>
          <w:sz w:val="28"/>
        </w:rPr>
        <w:t>、土地整理储备工作经费绩效目标表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1、完成律师委托支付</w:t>
            </w:r>
          </w:p>
          <w:p>
            <w:pPr>
              <w:spacing w:line="300" w:lineRule="exact"/>
              <w:jc w:val="left"/>
              <w:rPr>
                <w:rFonts w:ascii="方正书宋_GBK" w:eastAsia="方正书宋_GBK"/>
              </w:rPr>
            </w:pPr>
            <w:r>
              <w:rPr>
                <w:rFonts w:ascii="方正书宋_GBK" w:eastAsia="方正书宋_GBK"/>
              </w:rPr>
              <w:t>2、保障土地储备日常需求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7"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保障土地储备日常需求</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完成日常办公后续保障</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≥90完成日常工作保障</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委托律师</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完成收储法务工作</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≥90完成收储法务工作</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4"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8"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全面保障重点项目 建设</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≥90完成土地储备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保障群众利益</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≥90完成土地储备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bl>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eastAsia="宋体"/>
          <w:b/>
          <w:sz w:val="28"/>
        </w:rPr>
      </w:pPr>
      <w:r>
        <w:rPr>
          <w:rFonts w:hint="eastAsia" w:ascii="方正仿宋_GBK" w:eastAsia="方正仿宋_GBK"/>
          <w:b/>
          <w:sz w:val="28"/>
          <w:lang w:val="en-US" w:eastAsia="zh-CN"/>
        </w:rPr>
        <w:t>5</w:t>
      </w:r>
      <w:r>
        <w:rPr>
          <w:rFonts w:ascii="方正仿宋_GBK" w:eastAsia="方正仿宋_GBK"/>
          <w:b/>
          <w:sz w:val="28"/>
        </w:rPr>
        <w:t>、自然资源事务管理及不动产登记经费绩效目标表</w:t>
      </w:r>
      <w:r>
        <w:fldChar w:fldCharType="begin"/>
      </w:r>
      <w:r>
        <w:rPr>
          <w:rFonts w:ascii="方正仿宋_GBK" w:eastAsia="方正仿宋_GBK"/>
          <w:b/>
          <w:sz w:val="28"/>
        </w:rPr>
        <w:instrText xml:space="preserve"> TC </w:instrText>
      </w:r>
      <w:bookmarkStart w:id="4" w:name="_Toc28870496"/>
      <w:r>
        <w:rPr>
          <w:rFonts w:ascii="方正仿宋_GBK" w:eastAsia="方正仿宋_GBK"/>
          <w:b/>
          <w:sz w:val="28"/>
        </w:rPr>
        <w:instrText xml:space="preserve">5、自然资源事务管理及不动产登记经费绩效目标表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1、完成设备购置</w:t>
            </w:r>
          </w:p>
          <w:p>
            <w:pPr>
              <w:spacing w:line="300" w:lineRule="exact"/>
              <w:jc w:val="left"/>
              <w:rPr>
                <w:rFonts w:ascii="方正书宋_GBK" w:eastAsia="方正书宋_GBK"/>
              </w:rPr>
            </w:pPr>
            <w:r>
              <w:rPr>
                <w:rFonts w:ascii="方正书宋_GBK" w:eastAsia="方正书宋_GBK"/>
              </w:rPr>
              <w:t>2、完成不动产网络维护</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提升不动产服务水平</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完成网络安全维护</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≥90完成网络维护</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有序做好综合保障</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完成专用设备购置</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≥90做好综合保障</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全面提升不动产服务水平</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完成网络安全维护</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≥90完成安全维护</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落实放管服水平</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提升不动产水平</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≥90提升服务水平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90以上为优秀；80-89为良好；80以下为差</w:t>
            </w:r>
          </w:p>
        </w:tc>
      </w:tr>
    </w:tbl>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6</w:t>
      </w:r>
      <w:r>
        <w:rPr>
          <w:rFonts w:ascii="方正仿宋_GBK" w:eastAsia="方正仿宋_GBK"/>
          <w:b/>
          <w:sz w:val="28"/>
        </w:rPr>
        <w:t>、赤洋口土地收储项目政府付费绩效目标表</w:t>
      </w:r>
      <w:r>
        <w:fldChar w:fldCharType="begin"/>
      </w:r>
      <w:r>
        <w:rPr>
          <w:rFonts w:ascii="方正仿宋_GBK" w:eastAsia="方正仿宋_GBK"/>
          <w:b/>
          <w:sz w:val="28"/>
        </w:rPr>
        <w:instrText xml:space="preserve"> TC 1、办案业务、办案设备及科技强检经费绩效目标表 \f C \l 1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1、完成资金拨付</w:t>
            </w:r>
          </w:p>
          <w:p>
            <w:pPr>
              <w:spacing w:line="300" w:lineRule="exact"/>
              <w:jc w:val="left"/>
              <w:rPr>
                <w:rFonts w:ascii="方正书宋_GBK" w:eastAsia="方正书宋_GBK"/>
              </w:rPr>
            </w:pPr>
            <w:r>
              <w:rPr>
                <w:rFonts w:ascii="方正书宋_GBK" w:eastAsia="方正书宋_GBK"/>
              </w:rPr>
              <w:t>2、做好土地储备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完成储备金拨付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完成储备金支出</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≥90完成储备金拨付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及时做好土地储备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完成储备金支出</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≥90完成储备金支出</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完成土地储备支出</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完成储备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≥90完成储备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做好土地供应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做好群众权益保障</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≥90完成储备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做好供应前期工作</w:t>
            </w:r>
          </w:p>
        </w:tc>
      </w:tr>
    </w:tbl>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7</w:t>
      </w:r>
      <w:r>
        <w:rPr>
          <w:rFonts w:ascii="方正仿宋_GBK" w:eastAsia="方正仿宋_GBK"/>
          <w:b/>
          <w:sz w:val="28"/>
        </w:rPr>
        <w:t>、土地开发支出（税费）绩效目标表</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1、完成缴纳</w:t>
            </w:r>
          </w:p>
          <w:p>
            <w:pPr>
              <w:spacing w:line="300" w:lineRule="exact"/>
              <w:jc w:val="left"/>
              <w:rPr>
                <w:rFonts w:ascii="方正书宋_GBK" w:eastAsia="方正书宋_GBK"/>
              </w:rPr>
            </w:pPr>
            <w:r>
              <w:rPr>
                <w:rFonts w:ascii="方正书宋_GBK" w:eastAsia="方正书宋_GBK"/>
              </w:rPr>
              <w:t>2、完成报批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完成缴纳</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及时缴纳耕地占用税</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≥90积极做好税费缴纳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土地供应</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≥90完成报批</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及时供地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土地供应工作</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完成报批</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≥90完成报批</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及时供地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完成供应工作</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及时做好土地出让</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≥90完成缴纳</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做好征转报批</w:t>
            </w:r>
          </w:p>
        </w:tc>
      </w:tr>
    </w:tbl>
    <w:p>
      <w:pPr>
        <w:rPr>
          <w:rFonts w:cs="Times New Roma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hint="eastAsia" w:ascii="方正仿宋_GBK" w:eastAsia="方正仿宋_GBK"/>
          <w:b/>
          <w:sz w:val="28"/>
          <w:lang w:val="en-US" w:eastAsia="zh-CN"/>
        </w:rPr>
      </w:pPr>
    </w:p>
    <w:p>
      <w:pPr>
        <w:ind w:firstLine="562" w:firstLineChars="200"/>
        <w:jc w:val="left"/>
        <w:outlineLvl w:val="1"/>
        <w:rPr>
          <w:rFonts w:ascii="Times New Roman" w:hAnsi="宋体"/>
          <w:b/>
          <w:sz w:val="28"/>
        </w:rPr>
      </w:pPr>
      <w:bookmarkStart w:id="5" w:name="_GoBack"/>
      <w:bookmarkEnd w:id="5"/>
      <w:r>
        <w:rPr>
          <w:rFonts w:hint="eastAsia" w:ascii="方正仿宋_GBK" w:eastAsia="方正仿宋_GBK"/>
          <w:b/>
          <w:sz w:val="28"/>
          <w:lang w:val="en-US" w:eastAsia="zh-CN"/>
        </w:rPr>
        <w:t>8</w:t>
      </w:r>
      <w:r>
        <w:rPr>
          <w:rFonts w:ascii="方正仿宋_GBK" w:eastAsia="方正仿宋_GBK"/>
          <w:b/>
          <w:sz w:val="28"/>
        </w:rPr>
        <w:t>、征地和拆迁补偿支出绩效目标表</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3" w:type="dxa"/>
            <w:tcBorders>
              <w:bottom w:val="nil"/>
            </w:tcBorders>
            <w:vAlign w:val="center"/>
          </w:tcPr>
          <w:p>
            <w:pPr>
              <w:spacing w:line="300" w:lineRule="exact"/>
              <w:jc w:val="center"/>
              <w:rPr>
                <w:rFonts w:ascii="方正书宋_GBK" w:eastAsia="方正书宋_GBK"/>
                <w:b/>
              </w:rPr>
            </w:pPr>
            <w:r>
              <w:rPr>
                <w:rFonts w:ascii="方正书宋_GBK" w:eastAsia="方正书宋_GBK"/>
                <w:b/>
              </w:rPr>
              <w:t>绩效目标</w:t>
            </w:r>
          </w:p>
        </w:tc>
        <w:tc>
          <w:tcPr>
            <w:tcW w:w="8079" w:type="dxa"/>
            <w:tcBorders>
              <w:bottom w:val="nil"/>
            </w:tcBorders>
            <w:vAlign w:val="center"/>
          </w:tcPr>
          <w:p>
            <w:pPr>
              <w:spacing w:line="300" w:lineRule="exact"/>
              <w:jc w:val="left"/>
              <w:rPr>
                <w:rFonts w:ascii="方正书宋_GBK" w:eastAsia="方正书宋_GBK"/>
              </w:rPr>
            </w:pPr>
            <w:r>
              <w:rPr>
                <w:rFonts w:ascii="方正书宋_GBK" w:eastAsia="方正书宋_GBK"/>
              </w:rPr>
              <w:t>1、完成储备资金拨付</w:t>
            </w:r>
          </w:p>
          <w:p>
            <w:pPr>
              <w:spacing w:line="300" w:lineRule="exact"/>
              <w:jc w:val="left"/>
              <w:rPr>
                <w:rFonts w:ascii="方正书宋_GBK" w:eastAsia="方正书宋_GBK"/>
              </w:rPr>
            </w:pPr>
            <w:r>
              <w:rPr>
                <w:rFonts w:ascii="方正书宋_GBK" w:eastAsia="方正书宋_GBK"/>
              </w:rPr>
              <w:t>2、完成土地储备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409"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w:t>
            </w:r>
            <w:r>
              <w:rPr>
                <w:rFonts w:ascii="方正书宋_GBK" w:eastAsia="方正书宋_GBK"/>
              </w:rPr>
              <w:t>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时效</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资金拨付到位</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≥90完成土地储备</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做好土地供应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成本</w:t>
            </w:r>
            <w:r>
              <w:rPr>
                <w:rFonts w:ascii="方正书宋_GBK" w:eastAsia="方正书宋_GBK"/>
              </w:rPr>
              <w:t>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完成储备金拨付</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及时资金拨付到位</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≥90完成资金拨付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rPr>
              <w:t>效果指标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经济</w:t>
            </w:r>
            <w:r>
              <w:rPr>
                <w:rFonts w:ascii="方正书宋_GBK" w:eastAsia="方正书宋_GBK"/>
              </w:rPr>
              <w:t>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完成土地储备</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完成资金拨付</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≥90完成资金拨付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做好供应前期工作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hint="eastAsia" w:ascii="方正书宋_GBK" w:eastAsia="方正书宋_GBK"/>
              </w:rPr>
              <w:t>生态</w:t>
            </w:r>
            <w:r>
              <w:rPr>
                <w:rFonts w:ascii="方正书宋_GBK" w:eastAsia="方正书宋_GBK"/>
              </w:rPr>
              <w:t>效益指标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617" w:type="dxa"/>
            <w:vAlign w:val="center"/>
          </w:tcPr>
          <w:p>
            <w:pPr>
              <w:spacing w:line="300" w:lineRule="exact"/>
              <w:jc w:val="left"/>
              <w:rPr>
                <w:rFonts w:ascii="方正书宋_GBK" w:eastAsia="方正书宋_GBK"/>
              </w:rPr>
            </w:pPr>
            <w:r>
              <w:rPr>
                <w:rFonts w:ascii="方正书宋_GBK" w:eastAsia="方正书宋_GBK"/>
              </w:rPr>
              <w:t>可持续性影响指标</w:t>
            </w:r>
          </w:p>
        </w:tc>
        <w:tc>
          <w:tcPr>
            <w:tcW w:w="1275" w:type="dxa"/>
            <w:vAlign w:val="center"/>
          </w:tcPr>
          <w:p>
            <w:pPr>
              <w:spacing w:line="300" w:lineRule="exact"/>
              <w:jc w:val="left"/>
              <w:rPr>
                <w:rFonts w:ascii="方正书宋_GBK" w:eastAsia="方正书宋_GBK"/>
              </w:rPr>
            </w:pPr>
          </w:p>
        </w:tc>
        <w:tc>
          <w:tcPr>
            <w:tcW w:w="2409"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ascii="方正书宋_GBK" w:eastAsia="方正书宋_GBK"/>
              </w:rPr>
              <w:t>满意度指标</w:t>
            </w:r>
          </w:p>
        </w:tc>
        <w:tc>
          <w:tcPr>
            <w:tcW w:w="1617" w:type="dxa"/>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保障群众权益</w:t>
            </w:r>
          </w:p>
        </w:tc>
        <w:tc>
          <w:tcPr>
            <w:tcW w:w="2409"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储备金拨付</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≥90足额拨付</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ascii="方正书宋_GBK" w:eastAsia="方正书宋_GBK"/>
              </w:rPr>
              <w:t>完成储备</w:t>
            </w:r>
          </w:p>
        </w:tc>
      </w:tr>
    </w:tbl>
    <w:p>
      <w:pPr>
        <w:rPr>
          <w:rFonts w:cs="Times New Roman"/>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36"/>
    <w:rsid w:val="000675AD"/>
    <w:rsid w:val="00196F28"/>
    <w:rsid w:val="00407600"/>
    <w:rsid w:val="004B6DE7"/>
    <w:rsid w:val="004C0573"/>
    <w:rsid w:val="005A3FDD"/>
    <w:rsid w:val="007E6793"/>
    <w:rsid w:val="008C2421"/>
    <w:rsid w:val="009676F5"/>
    <w:rsid w:val="00B3328E"/>
    <w:rsid w:val="00C148B5"/>
    <w:rsid w:val="00C42A36"/>
    <w:rsid w:val="00D124EA"/>
    <w:rsid w:val="00D87D36"/>
    <w:rsid w:val="00EC46BE"/>
    <w:rsid w:val="08E21448"/>
    <w:rsid w:val="0B1E10B7"/>
    <w:rsid w:val="142648E5"/>
    <w:rsid w:val="15DE59E6"/>
    <w:rsid w:val="1BB320FF"/>
    <w:rsid w:val="1FE532C7"/>
    <w:rsid w:val="21791754"/>
    <w:rsid w:val="21A10A2C"/>
    <w:rsid w:val="248809AE"/>
    <w:rsid w:val="2CC43D65"/>
    <w:rsid w:val="2E1C7D0A"/>
    <w:rsid w:val="32B46F96"/>
    <w:rsid w:val="338368D4"/>
    <w:rsid w:val="38FE72D6"/>
    <w:rsid w:val="44833870"/>
    <w:rsid w:val="49FB7516"/>
    <w:rsid w:val="4A440062"/>
    <w:rsid w:val="4DA27EB2"/>
    <w:rsid w:val="575500AC"/>
    <w:rsid w:val="61E80356"/>
    <w:rsid w:val="66BA5219"/>
    <w:rsid w:val="694E68AC"/>
    <w:rsid w:val="69711639"/>
    <w:rsid w:val="761A54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5</Pages>
  <Words>460</Words>
  <Characters>2625</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2020-02-11T03:53:00Z</dcterms:created>
  <dc:creator>Hewlett-Packard Company</dc:creator>
  <cp:lastModifiedBy>℡じ 諾 言じ</cp:lastModifiedBy>
  <dcterms:modified xsi:type="dcterms:W3CDTF">2020-02-18T02:55:16Z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