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2B" w:rsidRDefault="004B2B79">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北戴河新区人民检察院2020年部门预算信息公开说明</w:t>
      </w:r>
    </w:p>
    <w:p w:rsidR="00722D2B" w:rsidRDefault="004B2B79">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按照《预算法》、《地方预决算公开操作规程》和《河北省省级预算公开办法》规定，现将2020年部门预算公开如下：</w:t>
      </w:r>
    </w:p>
    <w:p w:rsidR="00722D2B" w:rsidRDefault="004B2B79">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722D2B" w:rsidRDefault="004B2B79" w:rsidP="00716B85">
      <w:pPr>
        <w:spacing w:line="500" w:lineRule="exact"/>
        <w:ind w:firstLineChars="200" w:firstLine="643"/>
        <w:jc w:val="left"/>
        <w:rPr>
          <w:rFonts w:ascii="Times New Roman" w:eastAsia="方正仿宋_GBK"/>
          <w:sz w:val="28"/>
        </w:rPr>
      </w:pPr>
      <w:r>
        <w:rPr>
          <w:rFonts w:ascii="方正仿宋简体" w:eastAsia="方正仿宋简体" w:hAnsi="Times New Roman" w:cs="Times New Roman" w:hint="eastAsia"/>
          <w:b/>
          <w:sz w:val="32"/>
          <w:szCs w:val="32"/>
        </w:rPr>
        <w:t>部门</w:t>
      </w:r>
      <w:r>
        <w:rPr>
          <w:rFonts w:ascii="方正仿宋简体" w:eastAsia="方正仿宋简体" w:hAnsi="Times New Roman" w:cs="Times New Roman"/>
          <w:b/>
          <w:sz w:val="32"/>
          <w:szCs w:val="32"/>
        </w:rPr>
        <w:t>职责：</w:t>
      </w:r>
      <w:r>
        <w:rPr>
          <w:rFonts w:ascii="Times New Roman" w:eastAsia="方正仿宋_GBK"/>
          <w:sz w:val="28"/>
        </w:rPr>
        <w:t>(</w:t>
      </w:r>
      <w:r>
        <w:rPr>
          <w:rFonts w:ascii="Times New Roman" w:eastAsia="方正仿宋_GBK" w:hAnsi="微软雅黑" w:cs="微软雅黑" w:hint="eastAsia"/>
          <w:sz w:val="28"/>
        </w:rPr>
        <w:t>一</w:t>
      </w:r>
      <w:r>
        <w:rPr>
          <w:rFonts w:ascii="Times New Roman" w:eastAsia="方正仿宋_GBK"/>
          <w:sz w:val="28"/>
        </w:rPr>
        <w:t>)</w:t>
      </w:r>
      <w:r>
        <w:rPr>
          <w:rFonts w:ascii="Times New Roman" w:eastAsia="方正仿宋_GBK" w:hAnsi="微软雅黑" w:cs="微软雅黑" w:hint="eastAsia"/>
          <w:sz w:val="28"/>
        </w:rPr>
        <w:t>、执行国家法律法规，贯彻落实上级人民检察院、同级党委工作部署，制定检察工作目标，完成各项检察工作任务。</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二</w:t>
      </w:r>
      <w:r>
        <w:rPr>
          <w:rFonts w:ascii="Times New Roman" w:eastAsia="方正仿宋_GBK"/>
          <w:sz w:val="28"/>
        </w:rPr>
        <w:t>)</w:t>
      </w:r>
      <w:r>
        <w:rPr>
          <w:rFonts w:ascii="Times New Roman" w:eastAsia="方正仿宋_GBK" w:hAnsi="微软雅黑" w:cs="微软雅黑" w:hint="eastAsia"/>
          <w:sz w:val="28"/>
        </w:rPr>
        <w:t>、依法办理审查批准逮捕、决定逮捕案件，实施立案侦查监督、侦查活动监督。</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三</w:t>
      </w:r>
      <w:r>
        <w:rPr>
          <w:rFonts w:ascii="Times New Roman" w:eastAsia="方正仿宋_GBK"/>
          <w:sz w:val="28"/>
        </w:rPr>
        <w:t>)</w:t>
      </w:r>
      <w:r>
        <w:rPr>
          <w:rFonts w:ascii="Times New Roman" w:eastAsia="方正仿宋_GBK" w:hAnsi="微软雅黑" w:cs="微软雅黑" w:hint="eastAsia"/>
          <w:sz w:val="28"/>
        </w:rPr>
        <w:t>、依法办理审查起诉、提起公诉、抗诉案件，对人民法院刑事审判活动实行监督工作。</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四</w:t>
      </w:r>
      <w:r>
        <w:rPr>
          <w:rFonts w:ascii="Times New Roman" w:eastAsia="方正仿宋_GBK"/>
          <w:sz w:val="28"/>
        </w:rPr>
        <w:t>)</w:t>
      </w:r>
      <w:r>
        <w:rPr>
          <w:rFonts w:ascii="Times New Roman" w:eastAsia="方正仿宋_GBK" w:hAnsi="微软雅黑" w:cs="微软雅黑" w:hint="eastAsia"/>
          <w:sz w:val="28"/>
        </w:rPr>
        <w:t>、对刑罚执行和监管活动实行监督，维护刑罚执行和监管活动的公平公正，维护监管秩序稳定。</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五</w:t>
      </w:r>
      <w:r>
        <w:rPr>
          <w:rFonts w:ascii="Times New Roman" w:eastAsia="方正仿宋_GBK"/>
          <w:sz w:val="28"/>
        </w:rPr>
        <w:t>)</w:t>
      </w:r>
      <w:r>
        <w:rPr>
          <w:rFonts w:ascii="Times New Roman" w:eastAsia="方正仿宋_GBK" w:hAnsi="微软雅黑" w:cs="微软雅黑" w:hint="eastAsia"/>
          <w:sz w:val="28"/>
        </w:rPr>
        <w:t>、受理公民的报案、举报、控告和刑事申诉，依法处理举报线索，办理刑事申诉、国家赔偿、司法救助案件。</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六</w:t>
      </w:r>
      <w:r>
        <w:rPr>
          <w:rFonts w:ascii="Times New Roman" w:eastAsia="方正仿宋_GBK"/>
          <w:sz w:val="28"/>
        </w:rPr>
        <w:t>)</w:t>
      </w:r>
      <w:r>
        <w:rPr>
          <w:rFonts w:ascii="Times New Roman" w:eastAsia="方正仿宋_GBK" w:hAnsi="微软雅黑" w:cs="微软雅黑" w:hint="eastAsia"/>
          <w:sz w:val="28"/>
        </w:rPr>
        <w:t>、对人民法院民事诉讼和行政诉讼实行法律监督。</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七</w:t>
      </w:r>
      <w:r>
        <w:rPr>
          <w:rFonts w:ascii="Times New Roman" w:eastAsia="方正仿宋_GBK"/>
          <w:sz w:val="28"/>
        </w:rPr>
        <w:t>)</w:t>
      </w:r>
      <w:r>
        <w:rPr>
          <w:rFonts w:ascii="Times New Roman" w:eastAsia="方正仿宋_GBK" w:hAnsi="微软雅黑" w:cs="微软雅黑" w:hint="eastAsia"/>
          <w:sz w:val="28"/>
        </w:rPr>
        <w:t>、开展公益诉讼检察工作。</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八</w:t>
      </w:r>
      <w:r>
        <w:rPr>
          <w:rFonts w:ascii="Times New Roman" w:eastAsia="方正仿宋_GBK"/>
          <w:sz w:val="28"/>
        </w:rPr>
        <w:t>)</w:t>
      </w:r>
      <w:r>
        <w:rPr>
          <w:rFonts w:ascii="Times New Roman" w:eastAsia="方正仿宋_GBK" w:hAnsi="微软雅黑" w:cs="微软雅黑" w:hint="eastAsia"/>
          <w:sz w:val="28"/>
        </w:rPr>
        <w:t>、开展未成年人检察工作。</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lastRenderedPageBreak/>
        <w:t>(</w:t>
      </w:r>
      <w:r>
        <w:rPr>
          <w:rFonts w:ascii="Times New Roman" w:eastAsia="方正仿宋_GBK" w:hAnsi="微软雅黑" w:cs="微软雅黑" w:hint="eastAsia"/>
          <w:sz w:val="28"/>
        </w:rPr>
        <w:t>九</w:t>
      </w:r>
      <w:r>
        <w:rPr>
          <w:rFonts w:ascii="Times New Roman" w:eastAsia="方正仿宋_GBK"/>
          <w:sz w:val="28"/>
        </w:rPr>
        <w:t>)</w:t>
      </w:r>
      <w:r>
        <w:rPr>
          <w:rFonts w:ascii="Times New Roman" w:eastAsia="方正仿宋_GBK" w:hAnsi="微软雅黑" w:cs="微软雅黑" w:hint="eastAsia"/>
          <w:sz w:val="28"/>
        </w:rPr>
        <w:t>、负责检察队伍建设和思想政治工作，对检察人员进行教育培训，负责检察机关党的思想、组织、作风建设。</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十</w:t>
      </w:r>
      <w:r>
        <w:rPr>
          <w:rFonts w:ascii="Times New Roman" w:eastAsia="方正仿宋_GBK"/>
          <w:sz w:val="28"/>
        </w:rPr>
        <w:t>)</w:t>
      </w:r>
      <w:r>
        <w:rPr>
          <w:rFonts w:ascii="Times New Roman" w:eastAsia="方正仿宋_GBK" w:hAnsi="微软雅黑" w:cs="微软雅黑" w:hint="eastAsia"/>
          <w:sz w:val="28"/>
        </w:rPr>
        <w:t>、按照干部管理权限，协同地方党委、上级人民检察院管理本院检察人员，提请本级人民代表大会常务委员会决定任免副检察长、检察委员会委员、检察员。</w:t>
      </w:r>
    </w:p>
    <w:p w:rsidR="00722D2B" w:rsidRDefault="004B2B79">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十一</w:t>
      </w:r>
      <w:r>
        <w:rPr>
          <w:rFonts w:ascii="Times New Roman" w:eastAsia="方正仿宋_GBK"/>
          <w:sz w:val="28"/>
        </w:rPr>
        <w:t>)</w:t>
      </w:r>
      <w:r>
        <w:rPr>
          <w:rFonts w:ascii="Times New Roman" w:eastAsia="方正仿宋_GBK" w:hAnsi="微软雅黑" w:cs="微软雅黑" w:hint="eastAsia"/>
          <w:sz w:val="28"/>
        </w:rPr>
        <w:t>、规划落实检察机关财务装备工作，开展检察机关信息化建设、检察技术工作。</w:t>
      </w:r>
    </w:p>
    <w:p w:rsidR="00722D2B" w:rsidRPr="007C07A8" w:rsidRDefault="004B2B79" w:rsidP="007C07A8">
      <w:pPr>
        <w:spacing w:line="500" w:lineRule="exact"/>
        <w:ind w:firstLineChars="150" w:firstLine="420"/>
        <w:jc w:val="left"/>
        <w:rPr>
          <w:rFonts w:ascii="Times New Roman" w:eastAsia="方正仿宋_GBK"/>
          <w:sz w:val="28"/>
        </w:rPr>
      </w:pPr>
      <w:r>
        <w:rPr>
          <w:rFonts w:ascii="Times New Roman" w:eastAsia="方正仿宋_GBK" w:hAnsi="微软雅黑" w:cs="微软雅黑" w:hint="eastAsia"/>
          <w:sz w:val="28"/>
        </w:rPr>
        <w:t>（十二）承办上级检察院交办的其他事项。</w:t>
      </w:r>
    </w:p>
    <w:p w:rsidR="00722D2B" w:rsidRDefault="004B2B79" w:rsidP="00716B85">
      <w:pPr>
        <w:autoSpaceDE w:val="0"/>
        <w:autoSpaceDN w:val="0"/>
        <w:adjustRightInd w:val="0"/>
        <w:ind w:firstLineChars="200" w:firstLine="643"/>
        <w:jc w:val="left"/>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机构设置：</w:t>
      </w:r>
    </w:p>
    <w:p w:rsidR="00722D2B" w:rsidRDefault="004B2B79">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722D2B">
        <w:trPr>
          <w:trHeight w:val="300"/>
          <w:tblHeader/>
          <w:jc w:val="center"/>
        </w:trPr>
        <w:tc>
          <w:tcPr>
            <w:tcW w:w="4417" w:type="dxa"/>
            <w:vMerge w:val="restart"/>
            <w:vAlign w:val="center"/>
          </w:tcPr>
          <w:p w:rsidR="00722D2B" w:rsidRDefault="004B2B79">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722D2B" w:rsidRDefault="004B2B79">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722D2B" w:rsidRDefault="004B2B79">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722D2B" w:rsidRDefault="004B2B79">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722D2B">
        <w:trPr>
          <w:trHeight w:val="300"/>
          <w:tblHeader/>
          <w:jc w:val="center"/>
        </w:trPr>
        <w:tc>
          <w:tcPr>
            <w:tcW w:w="4417" w:type="dxa"/>
            <w:vMerge/>
            <w:vAlign w:val="center"/>
          </w:tcPr>
          <w:p w:rsidR="00722D2B" w:rsidRDefault="00722D2B">
            <w:pPr>
              <w:spacing w:line="300" w:lineRule="exact"/>
              <w:jc w:val="left"/>
              <w:outlineLvl w:val="0"/>
              <w:rPr>
                <w:rFonts w:ascii="Times New Roman" w:hAnsi="Times New Roman" w:cs="Times New Roman"/>
                <w:szCs w:val="24"/>
              </w:rPr>
            </w:pPr>
          </w:p>
        </w:tc>
        <w:tc>
          <w:tcPr>
            <w:tcW w:w="1134" w:type="dxa"/>
            <w:vMerge/>
            <w:vAlign w:val="center"/>
          </w:tcPr>
          <w:p w:rsidR="00722D2B" w:rsidRDefault="00722D2B">
            <w:pPr>
              <w:spacing w:line="300" w:lineRule="exact"/>
              <w:jc w:val="left"/>
              <w:outlineLvl w:val="0"/>
              <w:rPr>
                <w:rFonts w:ascii="Times New Roman" w:hAnsi="Times New Roman" w:cs="Times New Roman"/>
                <w:szCs w:val="24"/>
              </w:rPr>
            </w:pPr>
          </w:p>
        </w:tc>
        <w:tc>
          <w:tcPr>
            <w:tcW w:w="1276" w:type="dxa"/>
            <w:vMerge/>
            <w:vAlign w:val="center"/>
          </w:tcPr>
          <w:p w:rsidR="00722D2B" w:rsidRDefault="00722D2B">
            <w:pPr>
              <w:spacing w:line="300" w:lineRule="exact"/>
              <w:jc w:val="left"/>
              <w:outlineLvl w:val="0"/>
              <w:rPr>
                <w:rFonts w:ascii="Times New Roman" w:hAnsi="Times New Roman" w:cs="Times New Roman"/>
                <w:szCs w:val="24"/>
              </w:rPr>
            </w:pPr>
          </w:p>
        </w:tc>
        <w:tc>
          <w:tcPr>
            <w:tcW w:w="2902" w:type="dxa"/>
            <w:vMerge/>
            <w:vAlign w:val="center"/>
          </w:tcPr>
          <w:p w:rsidR="00722D2B" w:rsidRDefault="00722D2B">
            <w:pPr>
              <w:spacing w:line="300" w:lineRule="exact"/>
              <w:jc w:val="left"/>
              <w:outlineLvl w:val="0"/>
              <w:rPr>
                <w:rFonts w:ascii="Times New Roman" w:hAnsi="Times New Roman" w:cs="Times New Roman"/>
                <w:szCs w:val="24"/>
              </w:rPr>
            </w:pPr>
          </w:p>
        </w:tc>
      </w:tr>
      <w:tr w:rsidR="00722D2B">
        <w:trPr>
          <w:trHeight w:val="227"/>
          <w:jc w:val="center"/>
        </w:trPr>
        <w:tc>
          <w:tcPr>
            <w:tcW w:w="4417" w:type="dxa"/>
            <w:vAlign w:val="center"/>
          </w:tcPr>
          <w:p w:rsidR="00722D2B" w:rsidRDefault="004B2B79">
            <w:pPr>
              <w:spacing w:line="300" w:lineRule="exact"/>
              <w:jc w:val="left"/>
              <w:rPr>
                <w:rFonts w:ascii="Times New Roman" w:eastAsia="方正书宋_GBK" w:hAnsi="Times New Roman" w:cs="Times New Roman"/>
                <w:szCs w:val="24"/>
              </w:rPr>
            </w:pPr>
            <w:r>
              <w:rPr>
                <w:rFonts w:ascii="方正书宋_GBK" w:eastAsia="方正书宋_GBK" w:hint="eastAsia"/>
              </w:rPr>
              <w:t>北戴河新区人民检察院</w:t>
            </w:r>
          </w:p>
        </w:tc>
        <w:tc>
          <w:tcPr>
            <w:tcW w:w="1134" w:type="dxa"/>
            <w:vAlign w:val="center"/>
          </w:tcPr>
          <w:p w:rsidR="00722D2B" w:rsidRDefault="004B2B79">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722D2B" w:rsidRDefault="004B2B79">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722D2B" w:rsidRDefault="004B2B79">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722D2B">
        <w:trPr>
          <w:trHeight w:val="227"/>
          <w:jc w:val="center"/>
        </w:trPr>
        <w:tc>
          <w:tcPr>
            <w:tcW w:w="4417" w:type="dxa"/>
            <w:vAlign w:val="center"/>
          </w:tcPr>
          <w:p w:rsidR="00722D2B" w:rsidRDefault="00722D2B">
            <w:pPr>
              <w:spacing w:line="300" w:lineRule="exact"/>
              <w:jc w:val="left"/>
              <w:rPr>
                <w:rFonts w:ascii="方正书宋_GBK" w:eastAsia="方正书宋_GBK"/>
              </w:rPr>
            </w:pPr>
          </w:p>
        </w:tc>
        <w:tc>
          <w:tcPr>
            <w:tcW w:w="1134" w:type="dxa"/>
            <w:vAlign w:val="center"/>
          </w:tcPr>
          <w:p w:rsidR="00722D2B" w:rsidRDefault="00722D2B">
            <w:pPr>
              <w:spacing w:line="300" w:lineRule="exact"/>
              <w:jc w:val="center"/>
              <w:rPr>
                <w:rFonts w:ascii="Times New Roman" w:eastAsia="方正书宋_GBK" w:hAnsi="Times New Roman" w:cs="Times New Roman"/>
                <w:szCs w:val="24"/>
              </w:rPr>
            </w:pPr>
          </w:p>
        </w:tc>
        <w:tc>
          <w:tcPr>
            <w:tcW w:w="1276" w:type="dxa"/>
            <w:vAlign w:val="center"/>
          </w:tcPr>
          <w:p w:rsidR="00722D2B" w:rsidRDefault="00722D2B">
            <w:pPr>
              <w:spacing w:line="300" w:lineRule="exact"/>
              <w:jc w:val="center"/>
              <w:rPr>
                <w:rFonts w:ascii="Times New Roman" w:eastAsia="方正书宋_GBK" w:hAnsi="Times New Roman" w:cs="Times New Roman"/>
                <w:szCs w:val="24"/>
              </w:rPr>
            </w:pPr>
          </w:p>
        </w:tc>
        <w:tc>
          <w:tcPr>
            <w:tcW w:w="2902" w:type="dxa"/>
            <w:vAlign w:val="center"/>
          </w:tcPr>
          <w:p w:rsidR="00722D2B" w:rsidRDefault="00722D2B">
            <w:pPr>
              <w:spacing w:line="300" w:lineRule="exact"/>
              <w:jc w:val="center"/>
              <w:rPr>
                <w:rFonts w:ascii="Times New Roman" w:eastAsia="方正书宋_GBK" w:hAnsi="Times New Roman" w:cs="Times New Roman"/>
                <w:szCs w:val="24"/>
              </w:rPr>
            </w:pPr>
          </w:p>
        </w:tc>
      </w:tr>
      <w:tr w:rsidR="00722D2B">
        <w:trPr>
          <w:trHeight w:val="227"/>
          <w:jc w:val="center"/>
        </w:trPr>
        <w:tc>
          <w:tcPr>
            <w:tcW w:w="4417" w:type="dxa"/>
            <w:vAlign w:val="center"/>
          </w:tcPr>
          <w:p w:rsidR="00722D2B" w:rsidRDefault="00722D2B">
            <w:pPr>
              <w:spacing w:line="300" w:lineRule="exact"/>
              <w:jc w:val="left"/>
              <w:rPr>
                <w:rFonts w:ascii="Times New Roman" w:eastAsia="方正书宋_GBK" w:hAnsi="Times New Roman" w:cs="Times New Roman"/>
                <w:szCs w:val="24"/>
              </w:rPr>
            </w:pPr>
          </w:p>
        </w:tc>
        <w:tc>
          <w:tcPr>
            <w:tcW w:w="1134" w:type="dxa"/>
            <w:vAlign w:val="center"/>
          </w:tcPr>
          <w:p w:rsidR="00722D2B" w:rsidRDefault="00722D2B">
            <w:pPr>
              <w:spacing w:line="300" w:lineRule="exact"/>
              <w:jc w:val="center"/>
              <w:rPr>
                <w:rFonts w:ascii="Times New Roman" w:eastAsia="方正书宋_GBK" w:hAnsi="Times New Roman" w:cs="Times New Roman"/>
                <w:szCs w:val="24"/>
              </w:rPr>
            </w:pPr>
          </w:p>
        </w:tc>
        <w:tc>
          <w:tcPr>
            <w:tcW w:w="1276" w:type="dxa"/>
            <w:vAlign w:val="center"/>
          </w:tcPr>
          <w:p w:rsidR="00722D2B" w:rsidRDefault="00722D2B">
            <w:pPr>
              <w:spacing w:line="300" w:lineRule="exact"/>
              <w:jc w:val="center"/>
              <w:rPr>
                <w:rFonts w:ascii="Times New Roman" w:eastAsia="方正书宋_GBK" w:hAnsi="Times New Roman" w:cs="Times New Roman"/>
                <w:szCs w:val="24"/>
              </w:rPr>
            </w:pPr>
          </w:p>
        </w:tc>
        <w:tc>
          <w:tcPr>
            <w:tcW w:w="2902" w:type="dxa"/>
            <w:vAlign w:val="center"/>
          </w:tcPr>
          <w:p w:rsidR="00722D2B" w:rsidRDefault="00722D2B">
            <w:pPr>
              <w:spacing w:line="300" w:lineRule="exact"/>
              <w:jc w:val="center"/>
              <w:rPr>
                <w:rFonts w:ascii="Times New Roman" w:eastAsia="方正书宋_GBK" w:hAnsi="Times New Roman" w:cs="Times New Roman"/>
                <w:szCs w:val="24"/>
              </w:rPr>
            </w:pPr>
          </w:p>
        </w:tc>
      </w:tr>
      <w:tr w:rsidR="00722D2B">
        <w:trPr>
          <w:trHeight w:val="227"/>
          <w:jc w:val="center"/>
        </w:trPr>
        <w:tc>
          <w:tcPr>
            <w:tcW w:w="4417" w:type="dxa"/>
            <w:vAlign w:val="center"/>
          </w:tcPr>
          <w:p w:rsidR="00722D2B" w:rsidRDefault="00722D2B">
            <w:pPr>
              <w:spacing w:line="300" w:lineRule="exact"/>
              <w:jc w:val="left"/>
              <w:rPr>
                <w:rFonts w:ascii="Times New Roman" w:eastAsia="方正书宋_GBK" w:hAnsi="Times New Roman" w:cs="Times New Roman"/>
                <w:szCs w:val="24"/>
              </w:rPr>
            </w:pPr>
          </w:p>
        </w:tc>
        <w:tc>
          <w:tcPr>
            <w:tcW w:w="1134" w:type="dxa"/>
            <w:vAlign w:val="center"/>
          </w:tcPr>
          <w:p w:rsidR="00722D2B" w:rsidRDefault="00722D2B">
            <w:pPr>
              <w:spacing w:line="300" w:lineRule="exact"/>
              <w:jc w:val="center"/>
              <w:rPr>
                <w:rFonts w:ascii="Times New Roman" w:eastAsia="方正书宋_GBK" w:hAnsi="Times New Roman" w:cs="Times New Roman"/>
                <w:szCs w:val="24"/>
              </w:rPr>
            </w:pPr>
          </w:p>
        </w:tc>
        <w:tc>
          <w:tcPr>
            <w:tcW w:w="1276" w:type="dxa"/>
            <w:vAlign w:val="center"/>
          </w:tcPr>
          <w:p w:rsidR="00722D2B" w:rsidRDefault="00722D2B">
            <w:pPr>
              <w:spacing w:line="300" w:lineRule="exact"/>
              <w:jc w:val="center"/>
              <w:rPr>
                <w:rFonts w:ascii="Times New Roman" w:eastAsia="方正书宋_GBK" w:hAnsi="Times New Roman" w:cs="Times New Roman"/>
                <w:szCs w:val="24"/>
              </w:rPr>
            </w:pPr>
          </w:p>
        </w:tc>
        <w:tc>
          <w:tcPr>
            <w:tcW w:w="2902" w:type="dxa"/>
            <w:vAlign w:val="center"/>
          </w:tcPr>
          <w:p w:rsidR="00722D2B" w:rsidRDefault="00722D2B">
            <w:pPr>
              <w:spacing w:line="300" w:lineRule="exact"/>
              <w:jc w:val="center"/>
              <w:rPr>
                <w:rFonts w:ascii="Times New Roman" w:eastAsia="方正书宋_GBK" w:hAnsi="Times New Roman" w:cs="Times New Roman"/>
                <w:szCs w:val="24"/>
              </w:rPr>
            </w:pPr>
          </w:p>
        </w:tc>
      </w:tr>
    </w:tbl>
    <w:p w:rsidR="00722D2B" w:rsidRDefault="00722D2B"/>
    <w:p w:rsidR="00722D2B" w:rsidRDefault="004B2B79">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722D2B" w:rsidRDefault="004B2B79">
      <w:pPr>
        <w:ind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按照预算管理有关规定，目前</w:t>
      </w:r>
      <w:r>
        <w:rPr>
          <w:rFonts w:ascii="方正仿宋简体" w:eastAsia="方正仿宋简体" w:hAnsi="Times New Roman" w:cs="Times New Roman" w:hint="eastAsia"/>
          <w:sz w:val="32"/>
          <w:szCs w:val="32"/>
        </w:rPr>
        <w:t>我区</w:t>
      </w:r>
      <w:r>
        <w:rPr>
          <w:rFonts w:ascii="方正仿宋简体" w:eastAsia="方正仿宋简体" w:hAnsi="Times New Roman" w:cs="Times New Roman"/>
          <w:sz w:val="32"/>
          <w:szCs w:val="32"/>
        </w:rPr>
        <w:t>部门预算的编制实行综合预算制度，即全部收入和支出都反映</w:t>
      </w:r>
      <w:r>
        <w:rPr>
          <w:rFonts w:ascii="方正仿宋简体" w:eastAsia="方正仿宋简体" w:hAnsi="Times New Roman" w:cs="Times New Roman" w:hint="eastAsia"/>
          <w:sz w:val="32"/>
          <w:szCs w:val="32"/>
        </w:rPr>
        <w:t>在</w:t>
      </w:r>
      <w:r>
        <w:rPr>
          <w:rFonts w:ascii="方正仿宋简体" w:eastAsia="方正仿宋简体" w:hAnsi="Times New Roman" w:cs="Times New Roman"/>
          <w:sz w:val="32"/>
          <w:szCs w:val="32"/>
        </w:rPr>
        <w:t>预算中。</w:t>
      </w:r>
      <w:r>
        <w:rPr>
          <w:rFonts w:ascii="方正仿宋简体" w:eastAsia="方正仿宋简体" w:hAnsi="Times New Roman" w:cs="Times New Roman" w:hint="eastAsia"/>
          <w:sz w:val="32"/>
          <w:szCs w:val="32"/>
        </w:rPr>
        <w:t>北戴河新区人民检察院</w:t>
      </w:r>
      <w:r>
        <w:rPr>
          <w:rFonts w:ascii="方正仿宋简体" w:eastAsia="方正仿宋简体" w:hAnsi="Times New Roman" w:cs="Times New Roman"/>
          <w:sz w:val="32"/>
          <w:szCs w:val="32"/>
        </w:rPr>
        <w:t>的收支包含在部门预算中。</w:t>
      </w:r>
    </w:p>
    <w:p w:rsidR="00722D2B" w:rsidRDefault="004B2B79" w:rsidP="00716B85">
      <w:pPr>
        <w:ind w:firstLineChars="200" w:firstLine="643"/>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lastRenderedPageBreak/>
        <w:t>1.</w:t>
      </w:r>
      <w:r>
        <w:rPr>
          <w:rFonts w:ascii="方正仿宋简体" w:eastAsia="方正仿宋简体" w:hAnsi="Times New Roman" w:cs="Times New Roman"/>
          <w:b/>
          <w:sz w:val="32"/>
          <w:szCs w:val="32"/>
        </w:rPr>
        <w:t>收入说明</w:t>
      </w:r>
    </w:p>
    <w:p w:rsidR="00722D2B" w:rsidRDefault="004B2B79">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反映本部门当年全部收入，2020年预算收入838.88万元，其中：一般公共预算拨款838.88万元（非限额补助0万元，提前通知转移支付0万元）；基金预算拨款0万元。</w:t>
      </w:r>
    </w:p>
    <w:p w:rsidR="00722D2B" w:rsidRDefault="004B2B79">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2.</w:t>
      </w:r>
      <w:r>
        <w:rPr>
          <w:rFonts w:ascii="方正仿宋简体" w:eastAsia="方正仿宋简体" w:hAnsi="Times New Roman" w:cs="Times New Roman"/>
          <w:b/>
          <w:sz w:val="32"/>
          <w:szCs w:val="32"/>
        </w:rPr>
        <w:t>支出说明</w:t>
      </w:r>
    </w:p>
    <w:p w:rsidR="00722D2B" w:rsidRDefault="004B2B79">
      <w:pPr>
        <w:ind w:firstLineChars="150" w:firstLine="48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部门预算收支总表支出栏、基本支出表、项目支出表按经济分类和支出功能分类科目编制，反映部门预算中支出预算的总体情况。2020年部门支出预算为838.88万元，其中基本支出719.98万元，包括人员经费625.41万元和日常公用经费94.57万元；项目支出118.9万元，全部为本级支出。</w:t>
      </w:r>
    </w:p>
    <w:p w:rsidR="00722D2B" w:rsidRDefault="004B2B79">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3.</w:t>
      </w:r>
      <w:r>
        <w:rPr>
          <w:rFonts w:ascii="方正仿宋简体" w:eastAsia="方正仿宋简体" w:hAnsi="Times New Roman" w:cs="Times New Roman"/>
          <w:b/>
          <w:sz w:val="32"/>
          <w:szCs w:val="32"/>
        </w:rPr>
        <w:t>比上年增减情况</w:t>
      </w:r>
    </w:p>
    <w:p w:rsidR="00722D2B" w:rsidRDefault="004B2B79">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2020年部门预算较2019年增长79.21万元，其中：基本支出增长79.21万元，主要是增加人员经费；项目支出无增减变化。</w:t>
      </w:r>
    </w:p>
    <w:p w:rsidR="00722D2B" w:rsidRDefault="004B2B79">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722D2B" w:rsidRDefault="004B2B79">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机关运行经费共计安排94.57万元，主要用于保证机关正常运转的办公及印刷费、邮电费、差旅费、会议费、福利费、专用材料及一般设备购置费、办公用房水电费、办公用房取暖费、日常维修费、</w:t>
      </w:r>
      <w:r>
        <w:rPr>
          <w:rFonts w:ascii="方正仿宋简体" w:eastAsia="方正仿宋简体" w:hAnsi="Times New Roman" w:cs="Times New Roman" w:hint="eastAsia"/>
          <w:sz w:val="32"/>
          <w:szCs w:val="32"/>
        </w:rPr>
        <w:lastRenderedPageBreak/>
        <w:t>办公楼物业管理费、公务车运行维护费等支出。</w:t>
      </w:r>
    </w:p>
    <w:p w:rsidR="00722D2B" w:rsidRDefault="004B2B79">
      <w:pPr>
        <w:ind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722D2B" w:rsidRPr="00716B85" w:rsidRDefault="004B2B79" w:rsidP="00716B85">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2020年，财政拨款“三公”经费预算安排19.47万元，其中：因公出国（境）费0万元；公务用车购置及运维费18.2万元（其中：公务用车运行费18.2万元)；公务接待费1.27万元。“三公”经费较上年上升10.99%，主要原因是今年购入两台执法执勤用车。</w:t>
      </w:r>
    </w:p>
    <w:p w:rsidR="00722D2B" w:rsidRDefault="004B2B79">
      <w:pPr>
        <w:ind w:firstLine="640"/>
        <w:rPr>
          <w:rFonts w:ascii="Times New Roman" w:eastAsia="方正仿宋_GBK" w:hAnsi="Times New Roman" w:cs="Times New Roman"/>
          <w:sz w:val="32"/>
          <w:szCs w:val="24"/>
        </w:rPr>
      </w:pPr>
      <w:r>
        <w:rPr>
          <w:rFonts w:ascii="黑体" w:eastAsia="黑体" w:hAnsi="黑体" w:cs="Times New Roman" w:hint="eastAsia"/>
          <w:sz w:val="32"/>
          <w:szCs w:val="32"/>
        </w:rPr>
        <w:t>五、政府采购预算情况</w:t>
      </w:r>
    </w:p>
    <w:p w:rsidR="00722D2B" w:rsidRDefault="004B2B79">
      <w:pPr>
        <w:ind w:firstLine="640"/>
        <w:rPr>
          <w:rFonts w:ascii="方正仿宋简体" w:eastAsia="方正仿宋简体" w:hAnsi="黑体" w:cs="Times New Roman"/>
          <w:sz w:val="32"/>
          <w:szCs w:val="32"/>
        </w:rPr>
      </w:pPr>
      <w:r>
        <w:rPr>
          <w:rFonts w:ascii="方正仿宋简体" w:eastAsia="方正仿宋简体" w:hAnsi="Times New Roman" w:cs="Times New Roman" w:hint="eastAsia"/>
          <w:sz w:val="32"/>
          <w:szCs w:val="24"/>
        </w:rPr>
        <w:t>本部门无政府采购预算。</w:t>
      </w:r>
    </w:p>
    <w:p w:rsidR="00722D2B" w:rsidRDefault="004B2B79">
      <w:pPr>
        <w:ind w:firstLine="640"/>
        <w:rPr>
          <w:rFonts w:ascii="黑体" w:eastAsia="黑体" w:hAnsi="黑体" w:cs="Times New Roman"/>
          <w:sz w:val="32"/>
          <w:szCs w:val="32"/>
        </w:rPr>
      </w:pPr>
      <w:r>
        <w:rPr>
          <w:rFonts w:ascii="黑体" w:eastAsia="黑体" w:hAnsi="黑体" w:cs="Times New Roman" w:hint="eastAsia"/>
          <w:sz w:val="32"/>
          <w:szCs w:val="32"/>
        </w:rPr>
        <w:t>六、国有资产信息</w:t>
      </w:r>
    </w:p>
    <w:p w:rsidR="00722D2B" w:rsidRDefault="004B2B79">
      <w:pPr>
        <w:ind w:firstLine="640"/>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上年末固定资产金额为338.52万元（详见下表），本年度各单位拟购置固定资产主要为计算机、一体机、空调、打印机、投影仪等，共计</w:t>
      </w:r>
      <w:r>
        <w:rPr>
          <w:rFonts w:ascii="方正仿宋简体" w:eastAsia="方正仿宋简体" w:hAnsi="Times New Roman" w:cs="Times New Roman" w:hint="eastAsia"/>
          <w:sz w:val="32"/>
          <w:szCs w:val="32"/>
        </w:rPr>
        <w:t>5</w:t>
      </w:r>
      <w:r>
        <w:rPr>
          <w:rFonts w:ascii="方正仿宋简体" w:eastAsia="方正仿宋简体" w:hAnsi="Times New Roman" w:cs="Times New Roman" w:hint="eastAsia"/>
          <w:sz w:val="32"/>
          <w:szCs w:val="24"/>
        </w:rPr>
        <w:t>万元，均是20万元以下的设备。</w:t>
      </w:r>
    </w:p>
    <w:p w:rsidR="00722D2B" w:rsidRDefault="00722D2B">
      <w:pPr>
        <w:ind w:firstLine="640"/>
        <w:rPr>
          <w:rFonts w:ascii="仿宋_GB2312" w:eastAsia="仿宋_GB2312" w:hAnsi="黑体" w:cs="Times New Roman" w:hint="eastAsia"/>
          <w:sz w:val="32"/>
          <w:szCs w:val="32"/>
        </w:rPr>
      </w:pPr>
    </w:p>
    <w:p w:rsidR="00C06ABB" w:rsidRDefault="00C06ABB">
      <w:pPr>
        <w:ind w:firstLine="640"/>
        <w:rPr>
          <w:rFonts w:ascii="仿宋_GB2312" w:eastAsia="仿宋_GB2312" w:hAnsi="黑体" w:cs="Times New Roman" w:hint="eastAsia"/>
          <w:sz w:val="32"/>
          <w:szCs w:val="32"/>
        </w:rPr>
      </w:pPr>
    </w:p>
    <w:p w:rsidR="00C06ABB" w:rsidRDefault="00C06ABB">
      <w:pPr>
        <w:ind w:firstLine="640"/>
        <w:rPr>
          <w:rFonts w:ascii="仿宋_GB2312" w:eastAsia="仿宋_GB2312" w:hAnsi="黑体" w:cs="Times New Roman"/>
          <w:sz w:val="32"/>
          <w:szCs w:val="32"/>
        </w:rPr>
      </w:pPr>
    </w:p>
    <w:tbl>
      <w:tblPr>
        <w:tblW w:w="13482" w:type="dxa"/>
        <w:tblInd w:w="93" w:type="dxa"/>
        <w:tblLayout w:type="fixed"/>
        <w:tblLook w:val="04A0"/>
      </w:tblPr>
      <w:tblGrid>
        <w:gridCol w:w="5224"/>
        <w:gridCol w:w="3155"/>
        <w:gridCol w:w="5103"/>
      </w:tblGrid>
      <w:tr w:rsidR="00722D2B">
        <w:trPr>
          <w:trHeight w:val="705"/>
        </w:trPr>
        <w:tc>
          <w:tcPr>
            <w:tcW w:w="13482" w:type="dxa"/>
            <w:gridSpan w:val="3"/>
            <w:tcBorders>
              <w:top w:val="nil"/>
              <w:left w:val="nil"/>
              <w:bottom w:val="nil"/>
              <w:right w:val="nil"/>
            </w:tcBorders>
            <w:vAlign w:val="center"/>
          </w:tcPr>
          <w:p w:rsidR="00722D2B" w:rsidRDefault="004B2B79">
            <w:pPr>
              <w:widowControl/>
              <w:jc w:val="center"/>
              <w:rPr>
                <w:rFonts w:ascii="宋体" w:hAnsi="宋体" w:cs="宋体"/>
                <w:b/>
                <w:bCs/>
                <w:kern w:val="0"/>
                <w:sz w:val="32"/>
                <w:szCs w:val="32"/>
              </w:rPr>
            </w:pPr>
            <w:r>
              <w:rPr>
                <w:rFonts w:ascii="宋体" w:hAnsi="宋体" w:cs="宋体" w:hint="eastAsia"/>
                <w:b/>
                <w:bCs/>
                <w:kern w:val="0"/>
                <w:sz w:val="32"/>
                <w:szCs w:val="32"/>
              </w:rPr>
              <w:lastRenderedPageBreak/>
              <w:t>河北省省直部门固定资产占用情况表</w:t>
            </w:r>
          </w:p>
        </w:tc>
      </w:tr>
      <w:tr w:rsidR="00722D2B">
        <w:trPr>
          <w:trHeight w:val="510"/>
        </w:trPr>
        <w:tc>
          <w:tcPr>
            <w:tcW w:w="8379" w:type="dxa"/>
            <w:gridSpan w:val="2"/>
            <w:tcBorders>
              <w:top w:val="nil"/>
              <w:left w:val="nil"/>
              <w:bottom w:val="nil"/>
              <w:right w:val="nil"/>
            </w:tcBorders>
            <w:vAlign w:val="center"/>
          </w:tcPr>
          <w:p w:rsidR="00722D2B" w:rsidRDefault="004B2B79">
            <w:pPr>
              <w:widowControl/>
              <w:jc w:val="left"/>
              <w:rPr>
                <w:rFonts w:ascii="宋体" w:hAnsi="宋体" w:cs="宋体"/>
                <w:kern w:val="0"/>
                <w:sz w:val="22"/>
              </w:rPr>
            </w:pPr>
            <w:r>
              <w:rPr>
                <w:rFonts w:ascii="宋体" w:hAnsi="宋体" w:cs="宋体" w:hint="eastAsia"/>
                <w:kern w:val="0"/>
                <w:sz w:val="22"/>
              </w:rPr>
              <w:t>编制部门：秦皇岛北戴河新区人民检察院</w:t>
            </w:r>
          </w:p>
        </w:tc>
        <w:tc>
          <w:tcPr>
            <w:tcW w:w="5103" w:type="dxa"/>
            <w:tcBorders>
              <w:top w:val="nil"/>
              <w:left w:val="nil"/>
              <w:bottom w:val="nil"/>
              <w:right w:val="nil"/>
            </w:tcBorders>
            <w:vAlign w:val="center"/>
          </w:tcPr>
          <w:p w:rsidR="00722D2B" w:rsidRDefault="004B2B79">
            <w:pPr>
              <w:widowControl/>
              <w:jc w:val="left"/>
              <w:rPr>
                <w:rFonts w:ascii="宋体" w:hAnsi="宋体" w:cs="宋体"/>
                <w:kern w:val="0"/>
                <w:sz w:val="22"/>
              </w:rPr>
            </w:pPr>
            <w:r>
              <w:rPr>
                <w:rFonts w:ascii="宋体" w:hAnsi="宋体" w:cs="宋体" w:hint="eastAsia"/>
                <w:kern w:val="0"/>
                <w:sz w:val="22"/>
              </w:rPr>
              <w:t xml:space="preserve">截止时间：2019年12月31日  </w:t>
            </w:r>
          </w:p>
        </w:tc>
      </w:tr>
      <w:tr w:rsidR="00722D2B">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722D2B" w:rsidRDefault="004B2B79">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722D2B" w:rsidRDefault="004B2B79">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722D2B" w:rsidRDefault="004B2B79">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722D2B">
        <w:trPr>
          <w:trHeight w:val="645"/>
        </w:trPr>
        <w:tc>
          <w:tcPr>
            <w:tcW w:w="5224" w:type="dxa"/>
            <w:tcBorders>
              <w:top w:val="nil"/>
              <w:left w:val="single" w:sz="4" w:space="0" w:color="auto"/>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338.52</w:t>
            </w:r>
          </w:p>
        </w:tc>
      </w:tr>
      <w:tr w:rsidR="00722D2B">
        <w:trPr>
          <w:trHeight w:val="645"/>
        </w:trPr>
        <w:tc>
          <w:tcPr>
            <w:tcW w:w="5224" w:type="dxa"/>
            <w:tcBorders>
              <w:top w:val="nil"/>
              <w:left w:val="single" w:sz="4" w:space="0" w:color="auto"/>
              <w:bottom w:val="single" w:sz="4" w:space="0" w:color="auto"/>
              <w:right w:val="single" w:sz="4" w:space="0" w:color="auto"/>
            </w:tcBorders>
            <w:vAlign w:val="center"/>
          </w:tcPr>
          <w:p w:rsidR="00722D2B" w:rsidRDefault="004B2B79">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0</w:t>
            </w:r>
          </w:p>
        </w:tc>
        <w:tc>
          <w:tcPr>
            <w:tcW w:w="5103"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0</w:t>
            </w:r>
          </w:p>
        </w:tc>
      </w:tr>
      <w:tr w:rsidR="00722D2B">
        <w:trPr>
          <w:trHeight w:val="645"/>
        </w:trPr>
        <w:tc>
          <w:tcPr>
            <w:tcW w:w="5224" w:type="dxa"/>
            <w:tcBorders>
              <w:top w:val="nil"/>
              <w:left w:val="single" w:sz="4" w:space="0" w:color="auto"/>
              <w:bottom w:val="single" w:sz="4" w:space="0" w:color="auto"/>
              <w:right w:val="single" w:sz="4" w:space="0" w:color="auto"/>
            </w:tcBorders>
            <w:vAlign w:val="center"/>
          </w:tcPr>
          <w:p w:rsidR="00722D2B" w:rsidRDefault="004B2B79">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0</w:t>
            </w:r>
          </w:p>
        </w:tc>
        <w:tc>
          <w:tcPr>
            <w:tcW w:w="5103"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0</w:t>
            </w:r>
          </w:p>
        </w:tc>
      </w:tr>
      <w:tr w:rsidR="00722D2B">
        <w:trPr>
          <w:trHeight w:val="645"/>
        </w:trPr>
        <w:tc>
          <w:tcPr>
            <w:tcW w:w="5224" w:type="dxa"/>
            <w:tcBorders>
              <w:top w:val="nil"/>
              <w:left w:val="single" w:sz="4" w:space="0" w:color="auto"/>
              <w:bottom w:val="single" w:sz="4" w:space="0" w:color="auto"/>
              <w:right w:val="single" w:sz="4" w:space="0" w:color="auto"/>
            </w:tcBorders>
            <w:vAlign w:val="center"/>
          </w:tcPr>
          <w:p w:rsidR="00722D2B" w:rsidRDefault="004B2B79">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7</w:t>
            </w:r>
          </w:p>
        </w:tc>
        <w:tc>
          <w:tcPr>
            <w:tcW w:w="5103"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77.28</w:t>
            </w:r>
          </w:p>
        </w:tc>
      </w:tr>
      <w:tr w:rsidR="00722D2B">
        <w:trPr>
          <w:trHeight w:val="645"/>
        </w:trPr>
        <w:tc>
          <w:tcPr>
            <w:tcW w:w="5224" w:type="dxa"/>
            <w:tcBorders>
              <w:top w:val="nil"/>
              <w:left w:val="single" w:sz="4" w:space="0" w:color="auto"/>
              <w:bottom w:val="single" w:sz="4" w:space="0" w:color="auto"/>
              <w:right w:val="single" w:sz="4" w:space="0" w:color="auto"/>
            </w:tcBorders>
            <w:vAlign w:val="center"/>
          </w:tcPr>
          <w:p w:rsidR="00722D2B" w:rsidRDefault="004B2B79">
            <w:pPr>
              <w:widowControl/>
              <w:jc w:val="left"/>
              <w:rPr>
                <w:rFonts w:ascii="宋体" w:hAnsi="宋体" w:cs="宋体"/>
                <w:kern w:val="0"/>
                <w:sz w:val="22"/>
              </w:rPr>
            </w:pPr>
            <w:r>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0</w:t>
            </w:r>
          </w:p>
        </w:tc>
      </w:tr>
      <w:tr w:rsidR="00722D2B">
        <w:trPr>
          <w:trHeight w:val="645"/>
        </w:trPr>
        <w:tc>
          <w:tcPr>
            <w:tcW w:w="5224" w:type="dxa"/>
            <w:tcBorders>
              <w:top w:val="nil"/>
              <w:left w:val="single" w:sz="4" w:space="0" w:color="auto"/>
              <w:bottom w:val="single" w:sz="4" w:space="0" w:color="auto"/>
              <w:right w:val="single" w:sz="4" w:space="0" w:color="auto"/>
            </w:tcBorders>
            <w:vAlign w:val="center"/>
          </w:tcPr>
          <w:p w:rsidR="00722D2B" w:rsidRDefault="004B2B79">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722D2B" w:rsidRDefault="004B2B79">
            <w:pPr>
              <w:widowControl/>
              <w:jc w:val="center"/>
              <w:rPr>
                <w:rFonts w:ascii="宋体" w:hAnsi="宋体" w:cs="宋体"/>
                <w:kern w:val="0"/>
                <w:sz w:val="22"/>
              </w:rPr>
            </w:pPr>
            <w:r>
              <w:rPr>
                <w:rFonts w:ascii="宋体" w:hAnsi="宋体" w:cs="宋体" w:hint="eastAsia"/>
                <w:kern w:val="0"/>
                <w:sz w:val="22"/>
              </w:rPr>
              <w:t>261.24</w:t>
            </w:r>
          </w:p>
        </w:tc>
      </w:tr>
    </w:tbl>
    <w:p w:rsidR="00722D2B" w:rsidRDefault="004B2B79">
      <w:pPr>
        <w:ind w:firstLine="640"/>
        <w:rPr>
          <w:rFonts w:ascii="黑体" w:eastAsia="黑体" w:hAnsi="黑体" w:cs="Times New Roman"/>
          <w:sz w:val="32"/>
          <w:szCs w:val="32"/>
        </w:rPr>
      </w:pPr>
      <w:r>
        <w:rPr>
          <w:rFonts w:ascii="黑体" w:eastAsia="黑体" w:hAnsi="黑体" w:cs="Times New Roman" w:hint="eastAsia"/>
          <w:sz w:val="32"/>
          <w:szCs w:val="32"/>
        </w:rPr>
        <w:t>七、名词解释</w:t>
      </w:r>
    </w:p>
    <w:p w:rsidR="00722D2B" w:rsidRDefault="004B2B79">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1、一般预算收入：指区级财政当年拨付的资金。</w:t>
      </w:r>
      <w:bookmarkStart w:id="0" w:name="_GoBack"/>
      <w:bookmarkEnd w:id="0"/>
    </w:p>
    <w:p w:rsidR="00722D2B" w:rsidRDefault="004B2B79">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2、基本支出：指为保障机构正常运转、完成日常工作任务而发生的人员支出和公用支出。</w:t>
      </w:r>
    </w:p>
    <w:p w:rsidR="00722D2B" w:rsidRDefault="004B2B79">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3、项目支出：指在基本支出之外为完成特定行政任务和事业发展目标所发生的支出。</w:t>
      </w:r>
    </w:p>
    <w:p w:rsidR="00722D2B" w:rsidRDefault="004B2B79">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lastRenderedPageBreak/>
        <w:t>4、机关运行费：是指为保证行政事业单位运行，用于购买货物和服务的各项资金。主要包括：办公费、印刷费，水费、电费、邮电费、福利费、日常维修费、办公取暖费、办公物业服务费、公务车运行维护费等。</w:t>
      </w:r>
    </w:p>
    <w:p w:rsidR="00722D2B" w:rsidRDefault="004B2B79">
      <w:pPr>
        <w:ind w:firstLine="640"/>
        <w:rPr>
          <w:rFonts w:ascii="黑体" w:eastAsia="黑体" w:hAnsi="黑体" w:cs="Times New Roman"/>
          <w:sz w:val="32"/>
          <w:szCs w:val="32"/>
        </w:rPr>
      </w:pPr>
      <w:r>
        <w:rPr>
          <w:rFonts w:ascii="黑体" w:eastAsia="黑体" w:hAnsi="黑体" w:cs="Times New Roman" w:hint="eastAsia"/>
          <w:sz w:val="32"/>
          <w:szCs w:val="32"/>
        </w:rPr>
        <w:t>八、其他需要说明的事项</w:t>
      </w:r>
    </w:p>
    <w:p w:rsidR="00722D2B" w:rsidRDefault="004B2B79">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无。</w:t>
      </w:r>
    </w:p>
    <w:p w:rsidR="00722D2B" w:rsidRDefault="00722D2B">
      <w:pPr>
        <w:ind w:firstLineChars="200" w:firstLine="640"/>
        <w:rPr>
          <w:rFonts w:ascii="仿宋_GB2312" w:eastAsia="仿宋_GB2312" w:hAnsi="仿宋_GB2312" w:cs="仿宋_GB2312"/>
          <w:sz w:val="32"/>
          <w:szCs w:val="32"/>
        </w:rPr>
      </w:pPr>
    </w:p>
    <w:sectPr w:rsidR="00722D2B" w:rsidSect="00722D2B">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9BC" w:rsidRDefault="002579BC" w:rsidP="00716B85">
      <w:r>
        <w:separator/>
      </w:r>
    </w:p>
  </w:endnote>
  <w:endnote w:type="continuationSeparator" w:id="1">
    <w:p w:rsidR="002579BC" w:rsidRDefault="002579BC" w:rsidP="00716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仿宋_GBK">
    <w:altName w:val="宋体"/>
    <w:charset w:val="86"/>
    <w:family w:val="roman"/>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9BC" w:rsidRDefault="002579BC" w:rsidP="00716B85">
      <w:r>
        <w:separator/>
      </w:r>
    </w:p>
  </w:footnote>
  <w:footnote w:type="continuationSeparator" w:id="1">
    <w:p w:rsidR="002579BC" w:rsidRDefault="002579BC" w:rsidP="00716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37AF6"/>
    <w:rsid w:val="00041994"/>
    <w:rsid w:val="00075D5F"/>
    <w:rsid w:val="000A6B33"/>
    <w:rsid w:val="000B3E8D"/>
    <w:rsid w:val="000C3A19"/>
    <w:rsid w:val="000D3F0D"/>
    <w:rsid w:val="001245BB"/>
    <w:rsid w:val="00174EBC"/>
    <w:rsid w:val="001E4577"/>
    <w:rsid w:val="001F5E0A"/>
    <w:rsid w:val="00207F35"/>
    <w:rsid w:val="00232292"/>
    <w:rsid w:val="00241FD4"/>
    <w:rsid w:val="00251B12"/>
    <w:rsid w:val="00256F62"/>
    <w:rsid w:val="002579BC"/>
    <w:rsid w:val="00263CC0"/>
    <w:rsid w:val="00292E8E"/>
    <w:rsid w:val="00296113"/>
    <w:rsid w:val="002F3E58"/>
    <w:rsid w:val="0030542C"/>
    <w:rsid w:val="00311B7A"/>
    <w:rsid w:val="00314C7B"/>
    <w:rsid w:val="00346B63"/>
    <w:rsid w:val="00364058"/>
    <w:rsid w:val="003F082D"/>
    <w:rsid w:val="00423D39"/>
    <w:rsid w:val="00451871"/>
    <w:rsid w:val="004537DD"/>
    <w:rsid w:val="004547AD"/>
    <w:rsid w:val="0047165F"/>
    <w:rsid w:val="00472923"/>
    <w:rsid w:val="004B0FB1"/>
    <w:rsid w:val="004B2B79"/>
    <w:rsid w:val="004E3066"/>
    <w:rsid w:val="004E74CD"/>
    <w:rsid w:val="005549F6"/>
    <w:rsid w:val="00573562"/>
    <w:rsid w:val="005D3742"/>
    <w:rsid w:val="005E5EBE"/>
    <w:rsid w:val="00614A29"/>
    <w:rsid w:val="006273DF"/>
    <w:rsid w:val="006509AF"/>
    <w:rsid w:val="006D0BF7"/>
    <w:rsid w:val="006E3FDA"/>
    <w:rsid w:val="00711A0C"/>
    <w:rsid w:val="00716B85"/>
    <w:rsid w:val="00722D2B"/>
    <w:rsid w:val="00751FE1"/>
    <w:rsid w:val="0075393C"/>
    <w:rsid w:val="00776C08"/>
    <w:rsid w:val="007C07A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9C6268"/>
    <w:rsid w:val="00A72D2E"/>
    <w:rsid w:val="00A911E7"/>
    <w:rsid w:val="00A939D9"/>
    <w:rsid w:val="00AB1673"/>
    <w:rsid w:val="00AD44A3"/>
    <w:rsid w:val="00B20712"/>
    <w:rsid w:val="00B43238"/>
    <w:rsid w:val="00B75216"/>
    <w:rsid w:val="00B91D52"/>
    <w:rsid w:val="00BA1ACD"/>
    <w:rsid w:val="00BA49AE"/>
    <w:rsid w:val="00C06ABB"/>
    <w:rsid w:val="00C55356"/>
    <w:rsid w:val="00C67CB3"/>
    <w:rsid w:val="00CA42DB"/>
    <w:rsid w:val="00CA7176"/>
    <w:rsid w:val="00CB0DD3"/>
    <w:rsid w:val="00CC163D"/>
    <w:rsid w:val="00CD2773"/>
    <w:rsid w:val="00CD417B"/>
    <w:rsid w:val="00CE143B"/>
    <w:rsid w:val="00D74B13"/>
    <w:rsid w:val="00D8117B"/>
    <w:rsid w:val="00E167C7"/>
    <w:rsid w:val="00EC47F6"/>
    <w:rsid w:val="00F24692"/>
    <w:rsid w:val="00F66032"/>
    <w:rsid w:val="00F958C2"/>
    <w:rsid w:val="01FB23CB"/>
    <w:rsid w:val="09F77B15"/>
    <w:rsid w:val="0B0D77B0"/>
    <w:rsid w:val="0BBA653A"/>
    <w:rsid w:val="0C3D5924"/>
    <w:rsid w:val="0D9F1876"/>
    <w:rsid w:val="10ED36A0"/>
    <w:rsid w:val="114917E9"/>
    <w:rsid w:val="15F42192"/>
    <w:rsid w:val="19C36DAA"/>
    <w:rsid w:val="1A5D684E"/>
    <w:rsid w:val="1ABE55EE"/>
    <w:rsid w:val="1D954D97"/>
    <w:rsid w:val="2A012DF7"/>
    <w:rsid w:val="303D4E30"/>
    <w:rsid w:val="316E2FA4"/>
    <w:rsid w:val="32263325"/>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6DD81C5B"/>
    <w:rsid w:val="724C7A91"/>
    <w:rsid w:val="72617A36"/>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2B"/>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722D2B"/>
    <w:pPr>
      <w:jc w:val="left"/>
    </w:pPr>
  </w:style>
  <w:style w:type="paragraph" w:styleId="a4">
    <w:name w:val="Balloon Text"/>
    <w:basedOn w:val="a"/>
    <w:link w:val="Char0"/>
    <w:semiHidden/>
    <w:unhideWhenUsed/>
    <w:qFormat/>
    <w:rsid w:val="00722D2B"/>
    <w:rPr>
      <w:sz w:val="18"/>
      <w:szCs w:val="18"/>
    </w:rPr>
  </w:style>
  <w:style w:type="paragraph" w:styleId="a5">
    <w:name w:val="footer"/>
    <w:basedOn w:val="a"/>
    <w:link w:val="Char1"/>
    <w:qFormat/>
    <w:rsid w:val="00722D2B"/>
    <w:pPr>
      <w:tabs>
        <w:tab w:val="center" w:pos="4153"/>
        <w:tab w:val="right" w:pos="8306"/>
      </w:tabs>
      <w:snapToGrid w:val="0"/>
      <w:jc w:val="left"/>
    </w:pPr>
    <w:rPr>
      <w:rFonts w:ascii="Times New Roman" w:hAnsi="Times New Roman" w:cs="Times New Roman"/>
      <w:sz w:val="18"/>
      <w:szCs w:val="18"/>
    </w:rPr>
  </w:style>
  <w:style w:type="paragraph" w:styleId="a6">
    <w:name w:val="header"/>
    <w:basedOn w:val="a"/>
    <w:link w:val="Char2"/>
    <w:qFormat/>
    <w:rsid w:val="00722D2B"/>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722D2B"/>
    <w:rPr>
      <w:rFonts w:ascii="Times New Roman" w:hAnsi="Times New Roman" w:cs="Times New Roman"/>
      <w:szCs w:val="24"/>
    </w:rPr>
  </w:style>
  <w:style w:type="paragraph" w:styleId="2">
    <w:name w:val="toc 2"/>
    <w:basedOn w:val="a"/>
    <w:next w:val="a"/>
    <w:qFormat/>
    <w:rsid w:val="00722D2B"/>
    <w:pPr>
      <w:ind w:leftChars="200" w:left="420"/>
    </w:pPr>
    <w:rPr>
      <w:rFonts w:ascii="Times New Roman" w:hAnsi="Times New Roman" w:cs="Times New Roman"/>
      <w:szCs w:val="24"/>
    </w:rPr>
  </w:style>
  <w:style w:type="paragraph" w:styleId="a7">
    <w:name w:val="annotation subject"/>
    <w:basedOn w:val="a3"/>
    <w:next w:val="a3"/>
    <w:link w:val="Char3"/>
    <w:semiHidden/>
    <w:unhideWhenUsed/>
    <w:qFormat/>
    <w:rsid w:val="00722D2B"/>
    <w:rPr>
      <w:b/>
      <w:bCs/>
    </w:rPr>
  </w:style>
  <w:style w:type="character" w:styleId="a8">
    <w:name w:val="annotation reference"/>
    <w:basedOn w:val="a0"/>
    <w:semiHidden/>
    <w:unhideWhenUsed/>
    <w:qFormat/>
    <w:rsid w:val="00722D2B"/>
    <w:rPr>
      <w:sz w:val="21"/>
      <w:szCs w:val="21"/>
    </w:rPr>
  </w:style>
  <w:style w:type="character" w:customStyle="1" w:styleId="Char2">
    <w:name w:val="页眉 Char"/>
    <w:basedOn w:val="a0"/>
    <w:link w:val="a6"/>
    <w:qFormat/>
    <w:rsid w:val="00722D2B"/>
    <w:rPr>
      <w:rFonts w:ascii="Times New Roman" w:eastAsia="宋体" w:hAnsi="Times New Roman" w:cs="Times New Roman"/>
      <w:sz w:val="18"/>
      <w:szCs w:val="18"/>
    </w:rPr>
  </w:style>
  <w:style w:type="character" w:customStyle="1" w:styleId="Char1">
    <w:name w:val="页脚 Char"/>
    <w:basedOn w:val="a0"/>
    <w:link w:val="a5"/>
    <w:qFormat/>
    <w:rsid w:val="00722D2B"/>
    <w:rPr>
      <w:rFonts w:ascii="Times New Roman" w:eastAsia="宋体" w:hAnsi="Times New Roman" w:cs="Times New Roman"/>
      <w:sz w:val="18"/>
      <w:szCs w:val="18"/>
    </w:rPr>
  </w:style>
  <w:style w:type="character" w:customStyle="1" w:styleId="Char">
    <w:name w:val="批注文字 Char"/>
    <w:basedOn w:val="a0"/>
    <w:link w:val="a3"/>
    <w:semiHidden/>
    <w:qFormat/>
    <w:rsid w:val="00722D2B"/>
    <w:rPr>
      <w:rFonts w:ascii="Calibri" w:hAnsi="Calibri" w:cs="黑体"/>
      <w:kern w:val="2"/>
      <w:sz w:val="21"/>
      <w:szCs w:val="22"/>
    </w:rPr>
  </w:style>
  <w:style w:type="character" w:customStyle="1" w:styleId="Char3">
    <w:name w:val="批注主题 Char"/>
    <w:basedOn w:val="Char"/>
    <w:link w:val="a7"/>
    <w:semiHidden/>
    <w:qFormat/>
    <w:rsid w:val="00722D2B"/>
    <w:rPr>
      <w:rFonts w:ascii="Calibri" w:hAnsi="Calibri" w:cs="黑体"/>
      <w:b/>
      <w:bCs/>
      <w:kern w:val="2"/>
      <w:sz w:val="21"/>
      <w:szCs w:val="22"/>
    </w:rPr>
  </w:style>
  <w:style w:type="character" w:customStyle="1" w:styleId="Char0">
    <w:name w:val="批注框文本 Char"/>
    <w:basedOn w:val="a0"/>
    <w:link w:val="a4"/>
    <w:semiHidden/>
    <w:rsid w:val="00722D2B"/>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277</Words>
  <Characters>1580</Characters>
  <Application>Microsoft Office Word</Application>
  <DocSecurity>0</DocSecurity>
  <Lines>13</Lines>
  <Paragraphs>3</Paragraphs>
  <ScaleCrop>false</ScaleCrop>
  <Company>微软中国</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5</cp:revision>
  <cp:lastPrinted>2017-02-07T01:57:00Z</cp:lastPrinted>
  <dcterms:created xsi:type="dcterms:W3CDTF">2020-02-09T12:11:00Z</dcterms:created>
  <dcterms:modified xsi:type="dcterms:W3CDTF">2020-02-18T01:08:00Z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