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31" w:rsidRDefault="00CF2831" w:rsidP="0008273F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方正小标宋简体"/>
          <w:bCs/>
          <w:kern w:val="0"/>
          <w:sz w:val="44"/>
          <w:szCs w:val="44"/>
        </w:rPr>
        <w:t>年部门预算绩效信息</w:t>
      </w:r>
    </w:p>
    <w:p w:rsidR="0008273F" w:rsidRDefault="0008273F" w:rsidP="00CF2831">
      <w:pPr>
        <w:widowControl/>
        <w:adjustRightInd w:val="0"/>
        <w:spacing w:line="540" w:lineRule="exact"/>
        <w:jc w:val="center"/>
        <w:rPr>
          <w:rFonts w:ascii="方正仿宋简体" w:eastAsia="方正仿宋简体" w:hint="eastAsia"/>
          <w:sz w:val="28"/>
          <w:szCs w:val="28"/>
        </w:rPr>
      </w:pPr>
    </w:p>
    <w:p w:rsidR="00CF2831" w:rsidRDefault="00CF2831" w:rsidP="00CF2831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第一部分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部门整体绩效目标</w:t>
      </w:r>
      <w:r>
        <w:rPr>
          <w:rFonts w:ascii="方正小标宋_GBK" w:eastAsia="方正小标宋_GBK"/>
          <w:sz w:val="32"/>
          <w:szCs w:val="32"/>
        </w:rPr>
        <w:t xml:space="preserve"> </w:t>
      </w:r>
    </w:p>
    <w:p w:rsidR="00CF2831" w:rsidRDefault="00CF2831" w:rsidP="00CF2831">
      <w:pPr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（一）总体绩效目标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一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、执行国家法律法规，贯彻落实上级人民检察院、同级党委工作部署，制定检察工作目标，完成各项检察工作任务。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二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、依法办理审查批准逮捕、决定逮捕案件，实施立案侦查监督、侦查活动监督。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三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、依法办理审查起诉、提起公诉、抗诉案件，对人民法院刑事审判活动实行监督工作。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四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、对刑罚执行和监管活动实行监督，维护刑罚执行和监管活动的公平公正，维护监管秩序稳定。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五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、受理公民的报案、举报、控告和刑事申诉，依法处理举报线索，办理刑事申诉、国家赔偿、司法救助案件。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六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、对人民法院民事诉讼和行政诉讼实行法律监督。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七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、开展公益诉讼检察工作。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八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、开展未成年人检察工作。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九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、负责检察队伍建设和思想政治工作，对检察人员进行教育培训，负责检察机关党的思想、组织、作风建设。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十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、按照干部管理权限，协同地方党委、上级人民检察院管理本院检察人员，提请本级人民代表大会常务委员会决定任免副检察长、检察委员会委员、检察员。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/>
          <w:sz w:val="28"/>
        </w:rPr>
        <w:t>(</w:t>
      </w:r>
      <w:r w:rsidRPr="005E346F">
        <w:rPr>
          <w:rFonts w:ascii="Times New Roman" w:eastAsia="方正仿宋_GBK" w:hAnsi="微软雅黑" w:cs="微软雅黑" w:hint="eastAsia"/>
          <w:sz w:val="28"/>
        </w:rPr>
        <w:t>十一</w:t>
      </w:r>
      <w:r w:rsidRPr="005E346F">
        <w:rPr>
          <w:rFonts w:ascii="Times New Roman" w:eastAsia="方正仿宋_GBK"/>
          <w:sz w:val="28"/>
        </w:rPr>
        <w:t>)</w:t>
      </w:r>
      <w:r w:rsidRPr="005E346F">
        <w:rPr>
          <w:rFonts w:ascii="Times New Roman" w:eastAsia="方正仿宋_GBK" w:hAnsi="微软雅黑" w:cs="微软雅黑" w:hint="eastAsia"/>
          <w:sz w:val="28"/>
        </w:rPr>
        <w:t>、规划落实检察机关财务装备工作，开展检察机关信息化建设、检察技术工作。</w:t>
      </w:r>
    </w:p>
    <w:p w:rsidR="00CF2831" w:rsidRPr="0008273F" w:rsidRDefault="00CF2831" w:rsidP="0008273F">
      <w:pPr>
        <w:spacing w:line="500" w:lineRule="exact"/>
        <w:ind w:firstLineChars="150" w:firstLine="42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 w:hAnsi="微软雅黑" w:cs="微软雅黑" w:hint="eastAsia"/>
          <w:sz w:val="28"/>
        </w:rPr>
        <w:t>（十二）承办上级检察院交办的其他事项。</w:t>
      </w:r>
      <w:r w:rsidR="000D2C09" w:rsidRPr="000D2C09"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 w:hint="eastAsia"/>
          <w:sz w:val="28"/>
        </w:rPr>
        <w:instrText xml:space="preserve">TC </w:instrText>
      </w:r>
      <w:bookmarkStart w:id="0" w:name="_Toc28866444"/>
      <w:r>
        <w:rPr>
          <w:rFonts w:ascii="方正黑体_GBK" w:eastAsia="方正黑体_GBK" w:hint="eastAsia"/>
          <w:sz w:val="28"/>
        </w:rPr>
        <w:instrText>总体绩效目标</w:instrText>
      </w:r>
      <w:bookmarkEnd w:id="0"/>
      <w:r>
        <w:rPr>
          <w:rFonts w:ascii="方正黑体_GBK" w:eastAsia="方正黑体_GBK" w:hint="eastAsia"/>
          <w:sz w:val="28"/>
        </w:rPr>
        <w:instrText xml:space="preserve"> \f A \l 1</w:instrText>
      </w:r>
      <w:r>
        <w:rPr>
          <w:rFonts w:ascii="方正黑体_GBK" w:eastAsia="方正黑体_GBK"/>
          <w:sz w:val="28"/>
        </w:rPr>
        <w:instrText xml:space="preserve"> </w:instrText>
      </w:r>
      <w:r w:rsidR="000D2C09">
        <w:rPr>
          <w:rFonts w:ascii="方正黑体_GBK" w:eastAsia="方正黑体_GBK"/>
          <w:sz w:val="28"/>
        </w:rPr>
        <w:fldChar w:fldCharType="end"/>
      </w:r>
    </w:p>
    <w:p w:rsidR="00CF2831" w:rsidRDefault="00CF2831" w:rsidP="00CF2831">
      <w:pPr>
        <w:ind w:firstLineChars="196" w:firstLine="627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</w:t>
      </w:r>
      <w:r>
        <w:rPr>
          <w:rFonts w:ascii="方正楷体简体" w:eastAsia="方正楷体简体" w:hAnsi="黑体"/>
          <w:sz w:val="32"/>
          <w:szCs w:val="32"/>
        </w:rPr>
        <w:t>二</w:t>
      </w:r>
      <w:r>
        <w:rPr>
          <w:rFonts w:ascii="方正楷体简体" w:eastAsia="方正楷体简体" w:hAnsi="黑体" w:hint="eastAsia"/>
          <w:sz w:val="32"/>
          <w:szCs w:val="32"/>
        </w:rPr>
        <w:t>）</w:t>
      </w:r>
      <w:r>
        <w:rPr>
          <w:rFonts w:ascii="方正楷体简体" w:eastAsia="方正楷体简体" w:hAnsi="黑体"/>
          <w:sz w:val="32"/>
          <w:szCs w:val="32"/>
        </w:rPr>
        <w:t>分项绩效目标</w:t>
      </w:r>
      <w:r w:rsidR="000D2C09" w:rsidRPr="000D2C09"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 xml:space="preserve"> TC </w:instrText>
      </w:r>
      <w:bookmarkStart w:id="1" w:name="_Toc28866445"/>
      <w:r>
        <w:rPr>
          <w:rFonts w:ascii="方正楷体简体" w:eastAsia="方正楷体简体" w:hAnsi="黑体"/>
          <w:sz w:val="32"/>
          <w:szCs w:val="32"/>
        </w:rPr>
        <w:instrText>分项绩效目标</w:instrText>
      </w:r>
      <w:bookmarkEnd w:id="1"/>
      <w:r>
        <w:rPr>
          <w:rFonts w:ascii="方正楷体简体" w:eastAsia="方正楷体简体" w:hAnsi="黑体"/>
          <w:sz w:val="32"/>
          <w:szCs w:val="32"/>
        </w:rPr>
        <w:instrText xml:space="preserve"> \f A \l 1 </w:instrText>
      </w:r>
      <w:r w:rsidR="000D2C09"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 w:hAnsi="微软雅黑" w:cs="微软雅黑" w:hint="eastAsia"/>
          <w:sz w:val="28"/>
        </w:rPr>
        <w:lastRenderedPageBreak/>
        <w:t>一、保障本机关查办职务犯罪案件安全无事故；检察机关司法警察的管理和警衔晋升工作；传唤、拘传和协助执行其它强制措施，参与搜查、提押、看管犯罪嫌疑人、被告人、送达法律文书。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 w:hAnsi="微软雅黑" w:cs="微软雅黑" w:hint="eastAsia"/>
          <w:sz w:val="28"/>
        </w:rPr>
        <w:t>二、负责对受理案件的登记和归口分流；负责案件统计报表工作；对所办案件进行事前、事中、事后全程动态监督；负责举报、控告申诉和刑事赔偿工作；负责人民监督员办公室工作。</w:t>
      </w:r>
    </w:p>
    <w:p w:rsidR="00CF2831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 w:hAnsi="微软雅黑" w:cs="微软雅黑"/>
          <w:sz w:val="28"/>
        </w:rPr>
      </w:pPr>
      <w:r w:rsidRPr="005E346F">
        <w:rPr>
          <w:rFonts w:ascii="Times New Roman" w:eastAsia="方正仿宋_GBK" w:hAnsi="微软雅黑" w:cs="微软雅黑" w:hint="eastAsia"/>
          <w:sz w:val="28"/>
        </w:rPr>
        <w:t>三、负责辖区内刑事犯罪案件的审查逮捕、审查起诉、出庭公诉和社会管理工作；依法履行立案、侦查活动、监外执行、审判活动等监督职能；依法对民事、行政诉讼和审判活动进行法律监督。</w:t>
      </w:r>
    </w:p>
    <w:p w:rsidR="00CF2831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</w:p>
    <w:p w:rsidR="00CF2831" w:rsidRDefault="00CF2831" w:rsidP="00CF2831">
      <w:pPr>
        <w:spacing w:line="500" w:lineRule="exact"/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</w:t>
      </w:r>
      <w:r>
        <w:rPr>
          <w:rFonts w:ascii="方正楷体简体" w:eastAsia="方正楷体简体" w:hAnsi="黑体"/>
          <w:sz w:val="32"/>
          <w:szCs w:val="32"/>
        </w:rPr>
        <w:t>三</w:t>
      </w:r>
      <w:r>
        <w:rPr>
          <w:rFonts w:ascii="方正楷体简体" w:eastAsia="方正楷体简体" w:hAnsi="黑体" w:hint="eastAsia"/>
          <w:sz w:val="32"/>
          <w:szCs w:val="32"/>
        </w:rPr>
        <w:t>）</w:t>
      </w:r>
      <w:r>
        <w:rPr>
          <w:rFonts w:ascii="方正楷体简体" w:eastAsia="方正楷体简体" w:hAnsi="黑体"/>
          <w:sz w:val="32"/>
          <w:szCs w:val="32"/>
        </w:rPr>
        <w:t>工作保障措施</w:t>
      </w:r>
      <w:r w:rsidR="000D2C09" w:rsidRPr="000D2C09"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 xml:space="preserve"> TC </w:instrText>
      </w:r>
      <w:bookmarkStart w:id="2" w:name="_Toc28866446"/>
      <w:r>
        <w:rPr>
          <w:rFonts w:ascii="方正楷体简体" w:eastAsia="方正楷体简体" w:hAnsi="黑体"/>
          <w:sz w:val="32"/>
          <w:szCs w:val="32"/>
        </w:rPr>
        <w:instrText>工作保障措施</w:instrText>
      </w:r>
      <w:bookmarkEnd w:id="2"/>
      <w:r>
        <w:rPr>
          <w:rFonts w:ascii="方正楷体简体" w:eastAsia="方正楷体简体" w:hAnsi="黑体"/>
          <w:sz w:val="32"/>
          <w:szCs w:val="32"/>
        </w:rPr>
        <w:instrText xml:space="preserve"> \f A \l 1 </w:instrText>
      </w:r>
      <w:r w:rsidR="000D2C09"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 w:hAnsi="微软雅黑" w:cs="微软雅黑" w:hint="eastAsia"/>
          <w:sz w:val="28"/>
        </w:rPr>
        <w:t>一、综合办公室发挥保障、服务职能；积极推进各项综合工作；确保各项检察工作顺利开展。围绕重点工作推进办案网络信息化建设及检务公开工作，畅通检务公开渠道。为检察工作顺利开展提供检务保障。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 w:hAnsi="微软雅黑" w:cs="微软雅黑" w:hint="eastAsia"/>
          <w:sz w:val="28"/>
        </w:rPr>
        <w:t>二、案件管理办公室对本机关受理案件进行全程动态监控，规范司法行为。信访接待方面要构建依法有序信访秩序，及时依法解决群众诉求，不断提高队伍素质和执法能力，推进信息公开。</w:t>
      </w:r>
    </w:p>
    <w:p w:rsidR="00CF2831" w:rsidRPr="005E346F" w:rsidRDefault="00CF2831" w:rsidP="00CF2831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5E346F">
        <w:rPr>
          <w:rFonts w:ascii="Times New Roman" w:eastAsia="方正仿宋_GBK" w:hAnsi="微软雅黑" w:cs="微软雅黑" w:hint="eastAsia"/>
          <w:sz w:val="28"/>
        </w:rPr>
        <w:t>三、刑事检察科保障人权、维护司法公正，有效提高批捕、批准立案、批延准确率。全面审查案件事实，核实证据，依法提起公诉、出庭提出审查意见，提高公诉案件审结率、出庭意见采纳率。民事行政监督方面要有效实施民事案件审判监督，维护司法公正和司法权威，保障国家法律的统一正确实施。</w:t>
      </w:r>
    </w:p>
    <w:p w:rsidR="00CF2831" w:rsidRPr="005E346F" w:rsidRDefault="00CF2831" w:rsidP="00CF2831">
      <w:pPr>
        <w:ind w:firstLineChars="200" w:firstLine="420"/>
        <w:jc w:val="center"/>
        <w:rPr>
          <w:rFonts w:ascii="Times New Roman" w:hAnsi="宋体"/>
        </w:rPr>
      </w:pPr>
      <w:r w:rsidRPr="005E346F">
        <w:rPr>
          <w:rFonts w:ascii="方正书宋_GBK" w:eastAsia="方正书宋_GBK"/>
        </w:rPr>
        <w:t xml:space="preserve"> </w:t>
      </w:r>
    </w:p>
    <w:p w:rsidR="00CF2831" w:rsidRDefault="00CF2831" w:rsidP="0008273F">
      <w:pPr>
        <w:ind w:firstLineChars="200" w:firstLine="560"/>
        <w:rPr>
          <w:rFonts w:ascii="Times New Roman" w:eastAsia="方正仿宋_GBK"/>
          <w:sz w:val="28"/>
        </w:rPr>
        <w:sectPr w:rsidR="00CF2831" w:rsidSect="00A45C67">
          <w:footerReference w:type="default" r:id="rId6"/>
          <w:pgSz w:w="11907" w:h="16839"/>
          <w:pgMar w:top="1984" w:right="1304" w:bottom="1134" w:left="1304" w:header="851" w:footer="992" w:gutter="0"/>
          <w:pgNumType w:start="1"/>
          <w:cols w:space="425"/>
          <w:docGrid w:type="lines" w:linePitch="312"/>
        </w:sectPr>
      </w:pPr>
    </w:p>
    <w:p w:rsidR="00CF2831" w:rsidRPr="0008273F" w:rsidRDefault="00CF2831" w:rsidP="0008273F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第二部分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专项资资金绩效目标</w:t>
      </w:r>
    </w:p>
    <w:p w:rsidR="00CF2831" w:rsidRDefault="00CF2831" w:rsidP="00CF2831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1、</w:t>
      </w:r>
      <w:r w:rsidRPr="00197E85">
        <w:rPr>
          <w:rFonts w:ascii="方正仿宋_GBK" w:eastAsia="方正仿宋_GBK"/>
          <w:b/>
          <w:sz w:val="28"/>
        </w:rPr>
        <w:t>办案业务、办案设备及科技强检经费</w:t>
      </w:r>
      <w:r>
        <w:rPr>
          <w:rFonts w:ascii="方正仿宋_GBK" w:eastAsia="方正仿宋_GBK" w:hint="eastAsia"/>
          <w:b/>
          <w:sz w:val="28"/>
        </w:rPr>
        <w:t>专项资金</w:t>
      </w:r>
      <w:r>
        <w:rPr>
          <w:rFonts w:ascii="方正仿宋_GBK" w:eastAsia="方正仿宋_GBK"/>
          <w:b/>
          <w:sz w:val="28"/>
        </w:rPr>
        <w:t>绩效目标表</w:t>
      </w:r>
      <w:r w:rsidR="000D2C09" w:rsidRPr="000D2C09">
        <w:fldChar w:fldCharType="begin"/>
      </w:r>
      <w:r>
        <w:rPr>
          <w:rFonts w:ascii="方正仿宋_GBK" w:eastAsia="方正仿宋_GBK"/>
          <w:b/>
          <w:sz w:val="28"/>
        </w:rPr>
        <w:instrText xml:space="preserve"> TC 1、办案业务、办案设备及科技强检经费绩效目标表 \f C \l 1 </w:instrText>
      </w:r>
      <w:r w:rsidR="000D2C09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20"/>
        <w:gridCol w:w="8292"/>
      </w:tblGrid>
      <w:tr w:rsidR="00CF2831" w:rsidTr="0008273F">
        <w:trPr>
          <w:trHeight w:val="369"/>
          <w:jc w:val="center"/>
        </w:trPr>
        <w:tc>
          <w:tcPr>
            <w:tcW w:w="1120" w:type="dxa"/>
            <w:tcBorders>
              <w:bottom w:val="nil"/>
            </w:tcBorders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92" w:type="dxa"/>
            <w:tcBorders>
              <w:bottom w:val="nil"/>
            </w:tcBorders>
            <w:vAlign w:val="center"/>
          </w:tcPr>
          <w:p w:rsidR="00CF2831" w:rsidRPr="00197E85" w:rsidRDefault="00CF2831" w:rsidP="00CF28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1、保护公民、法人和其他单位的合法权益，促进司法公正，维护社会稳定</w:t>
            </w:r>
          </w:p>
          <w:p w:rsidR="00CF2831" w:rsidRDefault="00CF2831" w:rsidP="00CF28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2、规范司法行为，有效实施民事案件审判监督，维护司法公正和司法权威，保障国家法律的统一正确实施。</w:t>
            </w:r>
          </w:p>
        </w:tc>
      </w:tr>
    </w:tbl>
    <w:p w:rsidR="00CF2831" w:rsidRDefault="00CF2831" w:rsidP="00CF2831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CF2831" w:rsidTr="00D7658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F2831" w:rsidRPr="00197E85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案件流转率</w:t>
            </w:r>
          </w:p>
        </w:tc>
        <w:tc>
          <w:tcPr>
            <w:tcW w:w="2409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批捕准确率和有罪判决率</w:t>
            </w:r>
          </w:p>
        </w:tc>
        <w:tc>
          <w:tcPr>
            <w:tcW w:w="1276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≥</w:t>
            </w:r>
            <w:r w:rsidRPr="00197E85">
              <w:rPr>
                <w:rFonts w:ascii="方正书宋_GBK" w:eastAsia="方正书宋_GBK"/>
              </w:rPr>
              <w:t>95优</w:t>
            </w:r>
          </w:p>
        </w:tc>
        <w:tc>
          <w:tcPr>
            <w:tcW w:w="1701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受理案件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案件流转率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批捕准确率和有罪判决率</w:t>
            </w:r>
          </w:p>
        </w:tc>
        <w:tc>
          <w:tcPr>
            <w:tcW w:w="1276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≥</w:t>
            </w:r>
            <w:r w:rsidRPr="00197E85">
              <w:rPr>
                <w:rFonts w:ascii="方正书宋_GBK" w:eastAsia="方正书宋_GBK"/>
              </w:rPr>
              <w:t>70良</w:t>
            </w:r>
          </w:p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受理案件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案件流转率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批捕准确率和有罪判决率</w:t>
            </w:r>
          </w:p>
        </w:tc>
        <w:tc>
          <w:tcPr>
            <w:tcW w:w="1276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≥</w:t>
            </w:r>
            <w:r w:rsidRPr="00197E85">
              <w:rPr>
                <w:rFonts w:ascii="方正书宋_GBK" w:eastAsia="方正书宋_GBK"/>
              </w:rPr>
              <w:t>50中</w:t>
            </w:r>
          </w:p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受理案件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案件流转率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批捕准确率和有罪判决率</w:t>
            </w:r>
          </w:p>
        </w:tc>
        <w:tc>
          <w:tcPr>
            <w:tcW w:w="1276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&lt;50差</w:t>
            </w: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受理案件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F2831" w:rsidRPr="00197E85" w:rsidRDefault="00CF2831" w:rsidP="00CF283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采纳率</w:t>
            </w:r>
          </w:p>
        </w:tc>
        <w:tc>
          <w:tcPr>
            <w:tcW w:w="2409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民事申诉案件上级采纳率及检察建议采纳率</w:t>
            </w:r>
          </w:p>
        </w:tc>
        <w:tc>
          <w:tcPr>
            <w:tcW w:w="1276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≥</w:t>
            </w:r>
            <w:r w:rsidRPr="00197E85">
              <w:rPr>
                <w:rFonts w:ascii="方正书宋_GBK" w:eastAsia="方正书宋_GBK"/>
              </w:rPr>
              <w:t>70优</w:t>
            </w:r>
          </w:p>
        </w:tc>
        <w:tc>
          <w:tcPr>
            <w:tcW w:w="1701" w:type="dxa"/>
            <w:vAlign w:val="center"/>
          </w:tcPr>
          <w:p w:rsidR="00CF2831" w:rsidRPr="00197E85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民事申诉案件及公益诉讼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采纳率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民事申诉案件上级采纳率及检察建议采纳率</w:t>
            </w:r>
          </w:p>
        </w:tc>
        <w:tc>
          <w:tcPr>
            <w:tcW w:w="1276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≥</w:t>
            </w:r>
            <w:r w:rsidRPr="00197E85">
              <w:rPr>
                <w:rFonts w:ascii="方正书宋_GBK" w:eastAsia="方正书宋_GBK"/>
              </w:rPr>
              <w:t>60良</w:t>
            </w: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民事申诉案件及公益诉讼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采纳率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民事申诉案件上级采纳率及检察建议采纳率</w:t>
            </w:r>
          </w:p>
        </w:tc>
        <w:tc>
          <w:tcPr>
            <w:tcW w:w="1276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≥</w:t>
            </w:r>
            <w:r w:rsidRPr="00197E85">
              <w:rPr>
                <w:rFonts w:ascii="方正书宋_GBK" w:eastAsia="方正书宋_GBK"/>
              </w:rPr>
              <w:t>60中</w:t>
            </w: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民事申诉案件及公益诉讼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CF2831" w:rsidRPr="00197E85" w:rsidRDefault="00CF2831" w:rsidP="00CF2831">
            <w:pPr>
              <w:spacing w:line="300" w:lineRule="exac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涉检信访案件办结率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按程序处理信访案件占全年受理信访案件比例</w:t>
            </w:r>
          </w:p>
        </w:tc>
        <w:tc>
          <w:tcPr>
            <w:tcW w:w="1276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≥</w:t>
            </w:r>
            <w:r w:rsidRPr="00197E85">
              <w:rPr>
                <w:rFonts w:ascii="方正书宋_GBK" w:eastAsia="方正书宋_GBK"/>
              </w:rPr>
              <w:t>70优</w:t>
            </w: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197E85">
              <w:rPr>
                <w:rFonts w:ascii="方正书宋_GBK" w:eastAsia="方正书宋_GBK"/>
              </w:rPr>
              <w:t>"信访</w:t>
            </w:r>
          </w:p>
        </w:tc>
      </w:tr>
    </w:tbl>
    <w:p w:rsidR="00CF2831" w:rsidRDefault="00CF2831" w:rsidP="00CF2831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CF2831" w:rsidRDefault="00CF2831" w:rsidP="00CF2831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2</w:t>
      </w:r>
      <w:r>
        <w:rPr>
          <w:rFonts w:ascii="方正仿宋_GBK" w:eastAsia="方正仿宋_GBK"/>
          <w:b/>
          <w:sz w:val="28"/>
        </w:rPr>
        <w:t>、</w:t>
      </w:r>
      <w:r w:rsidRPr="00CB1250">
        <w:rPr>
          <w:rFonts w:ascii="方正仿宋_GBK" w:eastAsia="方正仿宋_GBK"/>
          <w:b/>
          <w:sz w:val="28"/>
        </w:rPr>
        <w:t>办公用房租赁费</w:t>
      </w:r>
      <w:r>
        <w:rPr>
          <w:rFonts w:ascii="方正仿宋_GBK" w:eastAsia="方正仿宋_GBK" w:hint="eastAsia"/>
          <w:b/>
          <w:sz w:val="28"/>
        </w:rPr>
        <w:t>专项资金</w:t>
      </w:r>
      <w:r>
        <w:rPr>
          <w:rFonts w:ascii="方正仿宋_GBK" w:eastAsia="方正仿宋_GBK"/>
          <w:b/>
          <w:sz w:val="28"/>
        </w:rPr>
        <w:t>绩效目标表</w:t>
      </w:r>
      <w:r w:rsidR="000D2C09" w:rsidRPr="000D2C09">
        <w:fldChar w:fldCharType="begin"/>
      </w:r>
      <w:r>
        <w:rPr>
          <w:rFonts w:ascii="方正仿宋_GBK" w:eastAsia="方正仿宋_GBK"/>
          <w:b/>
          <w:sz w:val="28"/>
        </w:rPr>
        <w:instrText xml:space="preserve"> TC 1、办案业务、办案设备及科技强检经费绩效目标表 \f C \l 1 </w:instrText>
      </w:r>
      <w:r w:rsidR="000D2C09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20"/>
        <w:gridCol w:w="8292"/>
      </w:tblGrid>
      <w:tr w:rsidR="00CF2831" w:rsidTr="0008273F">
        <w:trPr>
          <w:trHeight w:val="369"/>
          <w:jc w:val="center"/>
        </w:trPr>
        <w:tc>
          <w:tcPr>
            <w:tcW w:w="1120" w:type="dxa"/>
            <w:tcBorders>
              <w:bottom w:val="nil"/>
            </w:tcBorders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92" w:type="dxa"/>
            <w:tcBorders>
              <w:bottom w:val="nil"/>
            </w:tcBorders>
            <w:vAlign w:val="center"/>
          </w:tcPr>
          <w:p w:rsidR="00CF2831" w:rsidRPr="00CB1250" w:rsidRDefault="00CF2831" w:rsidP="00CF28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1、发挥保障服务职能</w:t>
            </w:r>
          </w:p>
          <w:p w:rsidR="00CF2831" w:rsidRDefault="00CF2831" w:rsidP="00CF28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2、确保各项检察工作顺利开展提供场所</w:t>
            </w:r>
          </w:p>
        </w:tc>
      </w:tr>
    </w:tbl>
    <w:p w:rsidR="00CF2831" w:rsidRDefault="00CF2831" w:rsidP="00CF2831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CF2831" w:rsidTr="00D7658D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CF2831" w:rsidRPr="00CB1250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保障各项检察工作</w:t>
            </w:r>
          </w:p>
        </w:tc>
        <w:tc>
          <w:tcPr>
            <w:tcW w:w="2409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各项检务保障工作完成率</w:t>
            </w:r>
          </w:p>
        </w:tc>
        <w:tc>
          <w:tcPr>
            <w:tcW w:w="1276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≥</w:t>
            </w:r>
            <w:r w:rsidRPr="00CB1250">
              <w:rPr>
                <w:rFonts w:ascii="方正书宋_GBK" w:eastAsia="方正书宋_GBK"/>
              </w:rPr>
              <w:t>90优</w:t>
            </w:r>
          </w:p>
        </w:tc>
        <w:tc>
          <w:tcPr>
            <w:tcW w:w="1701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检务保障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保障各项检察工作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各项检务保障工作完成率</w:t>
            </w:r>
          </w:p>
        </w:tc>
        <w:tc>
          <w:tcPr>
            <w:tcW w:w="1276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≥</w:t>
            </w:r>
            <w:r w:rsidRPr="00CB1250">
              <w:rPr>
                <w:rFonts w:ascii="方正书宋_GBK" w:eastAsia="方正书宋_GBK"/>
              </w:rPr>
              <w:t>70良</w:t>
            </w: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检务保障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CF2831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5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保障各项检察工作</w:t>
            </w:r>
          </w:p>
        </w:tc>
        <w:tc>
          <w:tcPr>
            <w:tcW w:w="2409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各项检务保障工作完成率</w:t>
            </w:r>
          </w:p>
        </w:tc>
        <w:tc>
          <w:tcPr>
            <w:tcW w:w="1276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60差</w:t>
            </w:r>
          </w:p>
        </w:tc>
        <w:tc>
          <w:tcPr>
            <w:tcW w:w="1701" w:type="dxa"/>
            <w:vAlign w:val="center"/>
          </w:tcPr>
          <w:p w:rsidR="00CF2831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检务保障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采纳率</w:t>
            </w:r>
          </w:p>
        </w:tc>
        <w:tc>
          <w:tcPr>
            <w:tcW w:w="2409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民事申诉案件上级采纳率及检察建议采纳率</w:t>
            </w:r>
          </w:p>
        </w:tc>
        <w:tc>
          <w:tcPr>
            <w:tcW w:w="1276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≥</w:t>
            </w:r>
            <w:r w:rsidRPr="00CB1250">
              <w:rPr>
                <w:rFonts w:ascii="方正书宋_GBK" w:eastAsia="方正书宋_GBK"/>
              </w:rPr>
              <w:t>70优</w:t>
            </w:r>
          </w:p>
        </w:tc>
        <w:tc>
          <w:tcPr>
            <w:tcW w:w="1701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民事申诉案件及公益诉讼</w:t>
            </w:r>
          </w:p>
        </w:tc>
      </w:tr>
      <w:tr w:rsidR="00CF2831" w:rsidTr="00D7658D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涉检信访案件办结率</w:t>
            </w:r>
          </w:p>
        </w:tc>
        <w:tc>
          <w:tcPr>
            <w:tcW w:w="2409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已按程序处理信访案件占全年受理信访案件比例</w:t>
            </w:r>
          </w:p>
        </w:tc>
        <w:tc>
          <w:tcPr>
            <w:tcW w:w="1276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≥</w:t>
            </w:r>
            <w:r w:rsidRPr="00CB1250">
              <w:rPr>
                <w:rFonts w:ascii="方正书宋_GBK" w:eastAsia="方正书宋_GBK"/>
              </w:rPr>
              <w:t>70优</w:t>
            </w:r>
          </w:p>
        </w:tc>
        <w:tc>
          <w:tcPr>
            <w:tcW w:w="1701" w:type="dxa"/>
            <w:vAlign w:val="center"/>
          </w:tcPr>
          <w:p w:rsidR="00CF2831" w:rsidRPr="00CB1250" w:rsidRDefault="00CF2831" w:rsidP="00D765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CB1250">
              <w:rPr>
                <w:rFonts w:ascii="方正书宋_GBK" w:eastAsia="方正书宋_GBK"/>
              </w:rPr>
              <w:t>"信访</w:t>
            </w:r>
          </w:p>
        </w:tc>
      </w:tr>
    </w:tbl>
    <w:p w:rsidR="001227CC" w:rsidRDefault="001227CC" w:rsidP="00CF2831">
      <w:pPr>
        <w:widowControl/>
        <w:adjustRightInd w:val="0"/>
        <w:spacing w:line="540" w:lineRule="exact"/>
        <w:jc w:val="center"/>
      </w:pPr>
    </w:p>
    <w:sectPr w:rsidR="001227CC" w:rsidSect="0012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A9" w:rsidRDefault="009935A9" w:rsidP="000D2C09">
      <w:r>
        <w:separator/>
      </w:r>
    </w:p>
  </w:endnote>
  <w:endnote w:type="continuationSeparator" w:id="1">
    <w:p w:rsidR="009935A9" w:rsidRDefault="009935A9" w:rsidP="000D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67" w:rsidRDefault="000D2C09" w:rsidP="00A45C6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F2831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8273F">
      <w:rPr>
        <w:rStyle w:val="a5"/>
        <w:noProof/>
      </w:rPr>
      <w:t>3</w:t>
    </w:r>
    <w:r>
      <w:rPr>
        <w:rStyle w:val="a5"/>
      </w:rPr>
      <w:fldChar w:fldCharType="end"/>
    </w:r>
  </w:p>
  <w:p w:rsidR="00A45C67" w:rsidRDefault="009935A9" w:rsidP="00A45C6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A9" w:rsidRDefault="009935A9" w:rsidP="000D2C09">
      <w:r>
        <w:separator/>
      </w:r>
    </w:p>
  </w:footnote>
  <w:footnote w:type="continuationSeparator" w:id="1">
    <w:p w:rsidR="009935A9" w:rsidRDefault="009935A9" w:rsidP="000D2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831"/>
    <w:rsid w:val="0008273F"/>
    <w:rsid w:val="000D2C09"/>
    <w:rsid w:val="001227CC"/>
    <w:rsid w:val="009935A9"/>
    <w:rsid w:val="00CF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3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831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a4">
    <w:name w:val="footer"/>
    <w:basedOn w:val="a"/>
    <w:link w:val="Char1"/>
    <w:uiPriority w:val="99"/>
    <w:unhideWhenUsed/>
    <w:rsid w:val="00CF283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CF2831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4"/>
    <w:uiPriority w:val="99"/>
    <w:rsid w:val="00CF2831"/>
    <w:rPr>
      <w:rFonts w:ascii="等线" w:eastAsia="等线" w:hAnsi="等线" w:cs="Times New Roman"/>
      <w:sz w:val="18"/>
      <w:szCs w:val="18"/>
    </w:rPr>
  </w:style>
  <w:style w:type="character" w:styleId="a5">
    <w:name w:val="page number"/>
    <w:uiPriority w:val="99"/>
    <w:semiHidden/>
    <w:unhideWhenUsed/>
    <w:rsid w:val="00CF2831"/>
  </w:style>
  <w:style w:type="paragraph" w:styleId="a6">
    <w:name w:val="header"/>
    <w:basedOn w:val="a"/>
    <w:link w:val="Char0"/>
    <w:uiPriority w:val="99"/>
    <w:semiHidden/>
    <w:unhideWhenUsed/>
    <w:rsid w:val="0008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827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1790</Characters>
  <Application>Microsoft Office Word</Application>
  <DocSecurity>0</DocSecurity>
  <Lines>14</Lines>
  <Paragraphs>4</Paragraphs>
  <ScaleCrop>false</ScaleCrop>
  <Company>china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Hewlett-Packard Company</cp:lastModifiedBy>
  <cp:revision>2</cp:revision>
  <dcterms:created xsi:type="dcterms:W3CDTF">2020-02-09T12:13:00Z</dcterms:created>
  <dcterms:modified xsi:type="dcterms:W3CDTF">2020-02-10T05:59:00Z</dcterms:modified>
</cp:coreProperties>
</file>