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rPr>
          <w:rFonts w:ascii="Times New Roman" w:hAnsi="Times New Roman"/>
          <w:kern w:val="0"/>
          <w:sz w:val="24"/>
        </w:rPr>
      </w:pPr>
      <w:r>
        <w:rPr>
          <w:rFonts w:ascii="Times New Roman" w:eastAsia="方正仿宋简体"/>
          <w:kern w:val="0"/>
          <w:sz w:val="32"/>
          <w:szCs w:val="32"/>
        </w:rPr>
        <w:t>附件</w:t>
      </w:r>
      <w:r>
        <w:rPr>
          <w:rFonts w:ascii="Times New Roman" w:hAnsi="Times New Roman" w:eastAsia="方正仿宋简体"/>
          <w:kern w:val="0"/>
          <w:sz w:val="32"/>
          <w:szCs w:val="32"/>
        </w:rPr>
        <w:t>2</w:t>
      </w:r>
    </w:p>
    <w:p>
      <w:pPr>
        <w:widowControl/>
        <w:spacing w:line="480" w:lineRule="exact"/>
        <w:jc w:val="center"/>
        <w:rPr>
          <w:rFonts w:hint="eastAsia" w:ascii="Times New Roman" w:hAnsi="Times New Roman" w:eastAsia="宋体"/>
          <w:b/>
          <w:bCs/>
          <w:kern w:val="0"/>
          <w:sz w:val="44"/>
          <w:szCs w:val="44"/>
          <w:lang w:eastAsia="zh-CN"/>
        </w:rPr>
      </w:pPr>
      <w:r>
        <w:rPr>
          <w:rFonts w:hint="eastAsia" w:ascii="Times New Roman" w:hAnsi="Times New Roman"/>
          <w:b/>
          <w:bCs/>
          <w:kern w:val="0"/>
          <w:sz w:val="44"/>
          <w:szCs w:val="44"/>
          <w:lang w:eastAsia="zh-CN"/>
        </w:rPr>
        <w:t>秦皇岛北戴河新区人民法院</w:t>
      </w:r>
    </w:p>
    <w:p>
      <w:pPr>
        <w:widowControl/>
        <w:spacing w:line="48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2020</w:t>
      </w:r>
      <w:r>
        <w:rPr>
          <w:rFonts w:ascii="Times New Roman" w:hAnsi="方正小标宋简体" w:eastAsia="方正小标宋简体"/>
          <w:bCs/>
          <w:kern w:val="0"/>
          <w:sz w:val="44"/>
          <w:szCs w:val="44"/>
        </w:rPr>
        <w:t>年部门预算公开情况说明</w:t>
      </w:r>
    </w:p>
    <w:p>
      <w:pPr>
        <w:widowControl/>
        <w:adjustRightInd w:val="0"/>
        <w:spacing w:line="480" w:lineRule="exact"/>
        <w:ind w:firstLine="643" w:firstLineChars="200"/>
        <w:rPr>
          <w:rFonts w:ascii="Times New Roman" w:hAnsi="Times New Roman" w:eastAsia="黑体"/>
          <w:b/>
          <w:kern w:val="0"/>
          <w:sz w:val="32"/>
          <w:szCs w:val="32"/>
        </w:rPr>
      </w:pPr>
    </w:p>
    <w:p>
      <w:pPr>
        <w:widowControl/>
        <w:adjustRightInd w:val="0"/>
        <w:spacing w:line="480" w:lineRule="exact"/>
        <w:ind w:firstLine="643" w:firstLineChars="200"/>
        <w:rPr>
          <w:rFonts w:ascii="Times New Roman" w:hAnsi="Times New Roman"/>
          <w:kern w:val="0"/>
          <w:sz w:val="24"/>
        </w:rPr>
      </w:pPr>
      <w:r>
        <w:rPr>
          <w:rFonts w:ascii="Times New Roman" w:hAnsi="Times New Roman" w:eastAsia="黑体"/>
          <w:b/>
          <w:kern w:val="0"/>
          <w:sz w:val="32"/>
          <w:szCs w:val="32"/>
        </w:rPr>
        <w:t>一、</w:t>
      </w:r>
      <w:r>
        <w:rPr>
          <w:rFonts w:ascii="Times New Roman" w:hAnsi="Times New Roman" w:eastAsia="黑体"/>
          <w:kern w:val="0"/>
          <w:sz w:val="32"/>
          <w:szCs w:val="32"/>
        </w:rPr>
        <w:t>部门职责及机构设置情况</w:t>
      </w:r>
    </w:p>
    <w:p>
      <w:pPr>
        <w:adjustRightInd w:val="0"/>
        <w:spacing w:line="480" w:lineRule="exact"/>
        <w:ind w:firstLine="320" w:firstLineChars="100"/>
        <w:rPr>
          <w:rFonts w:ascii="Times New Roman" w:hAnsi="Times New Roman" w:eastAsia="方正仿宋简体"/>
          <w:kern w:val="0"/>
          <w:sz w:val="32"/>
          <w:szCs w:val="32"/>
        </w:rPr>
      </w:pPr>
      <w:r>
        <w:rPr>
          <w:rFonts w:ascii="Times New Roman" w:hAnsi="Times New Roman" w:eastAsia="方正仿宋简体"/>
          <w:kern w:val="0"/>
          <w:sz w:val="32"/>
          <w:szCs w:val="32"/>
        </w:rPr>
        <w:t>1.部门职责</w:t>
      </w:r>
    </w:p>
    <w:p>
      <w:pPr>
        <w:ind w:firstLine="280" w:firstLineChars="100"/>
        <w:rPr>
          <w:rFonts w:hint="eastAsia" w:ascii="宋体" w:hAnsi="宋体" w:cs="Times New Roman"/>
          <w:bCs/>
          <w:sz w:val="28"/>
          <w:szCs w:val="28"/>
        </w:rPr>
      </w:pPr>
      <w:r>
        <w:rPr>
          <w:rFonts w:hint="eastAsia" w:ascii="宋体" w:hAnsi="宋体" w:cs="Times New Roman"/>
          <w:bCs/>
          <w:sz w:val="28"/>
          <w:szCs w:val="28"/>
          <w:lang w:eastAsia="zh-CN"/>
        </w:rPr>
        <w:t>（</w:t>
      </w:r>
      <w:r>
        <w:rPr>
          <w:rFonts w:hint="eastAsia" w:ascii="宋体" w:hAnsi="宋体" w:cs="Times New Roman"/>
          <w:bCs/>
          <w:sz w:val="28"/>
          <w:szCs w:val="28"/>
          <w:lang w:val="en-US" w:eastAsia="zh-CN"/>
        </w:rPr>
        <w:t>1</w:t>
      </w:r>
      <w:r>
        <w:rPr>
          <w:rFonts w:hint="eastAsia" w:ascii="宋体" w:hAnsi="宋体" w:cs="Times New Roman"/>
          <w:bCs/>
          <w:sz w:val="28"/>
          <w:szCs w:val="28"/>
          <w:lang w:eastAsia="zh-CN"/>
        </w:rPr>
        <w:t>）</w:t>
      </w:r>
      <w:r>
        <w:rPr>
          <w:rFonts w:hint="eastAsia" w:ascii="宋体" w:hAnsi="宋体" w:cs="Times New Roman"/>
          <w:bCs/>
          <w:sz w:val="28"/>
          <w:szCs w:val="28"/>
        </w:rPr>
        <w:t>综合办公室 （纪检监察室、政治处）</w:t>
      </w:r>
    </w:p>
    <w:p>
      <w:pPr>
        <w:ind w:firstLine="420" w:firstLineChars="150"/>
        <w:rPr>
          <w:rFonts w:hint="eastAsia" w:ascii="宋体" w:hAnsi="宋体" w:cs="Times New Roman"/>
          <w:bCs/>
          <w:sz w:val="28"/>
          <w:szCs w:val="28"/>
        </w:rPr>
      </w:pPr>
      <w:r>
        <w:rPr>
          <w:rFonts w:hint="eastAsia" w:ascii="宋体" w:hAnsi="宋体" w:cs="Times New Roman"/>
          <w:bCs/>
          <w:sz w:val="28"/>
          <w:szCs w:val="28"/>
        </w:rPr>
        <w:t>负责协调本院各部门工作；承办各种会议事务；起草综合性文件、报告等文稿；负责与人大代表、政协委员联络工作；负责文秘、信息、保密、资料、档案管理和办公自动化管理；负责司法技术辅助工作；负责计财装备、法律政策研究工作；负责干部队伍管理、机关党的建设、新闻宣传、教育培训、纪检监察等工作；承办院党组决定的有关事项。</w:t>
      </w:r>
    </w:p>
    <w:p>
      <w:pPr>
        <w:ind w:firstLine="280" w:firstLineChars="100"/>
        <w:rPr>
          <w:rFonts w:hint="eastAsia" w:ascii="宋体" w:hAnsi="宋体" w:cs="Times New Roman"/>
          <w:bCs/>
          <w:sz w:val="28"/>
          <w:szCs w:val="28"/>
        </w:rPr>
      </w:pPr>
      <w:r>
        <w:rPr>
          <w:rFonts w:hint="eastAsia" w:ascii="宋体" w:hAnsi="宋体" w:cs="Times New Roman"/>
          <w:bCs/>
          <w:sz w:val="28"/>
          <w:szCs w:val="28"/>
          <w:lang w:eastAsia="zh-CN"/>
        </w:rPr>
        <w:t>（</w:t>
      </w:r>
      <w:r>
        <w:rPr>
          <w:rFonts w:hint="eastAsia" w:ascii="宋体" w:hAnsi="宋体" w:cs="Times New Roman"/>
          <w:bCs/>
          <w:sz w:val="28"/>
          <w:szCs w:val="28"/>
          <w:lang w:val="en-US" w:eastAsia="zh-CN"/>
        </w:rPr>
        <w:t>2</w:t>
      </w:r>
      <w:r>
        <w:rPr>
          <w:rFonts w:hint="eastAsia" w:ascii="宋体" w:hAnsi="宋体" w:cs="Times New Roman"/>
          <w:bCs/>
          <w:sz w:val="28"/>
          <w:szCs w:val="28"/>
          <w:lang w:eastAsia="zh-CN"/>
        </w:rPr>
        <w:t>）</w:t>
      </w:r>
      <w:r>
        <w:rPr>
          <w:rFonts w:hint="eastAsia"/>
        </w:rPr>
        <w:t xml:space="preserve"> </w:t>
      </w:r>
      <w:r>
        <w:rPr>
          <w:rFonts w:hint="eastAsia" w:ascii="宋体" w:hAnsi="宋体" w:cs="Times New Roman"/>
          <w:bCs/>
          <w:sz w:val="28"/>
          <w:szCs w:val="28"/>
        </w:rPr>
        <w:t>立案庭（审判监督庭、执行局、法警大队）</w:t>
      </w:r>
    </w:p>
    <w:p>
      <w:pPr>
        <w:rPr>
          <w:rFonts w:hint="eastAsia" w:ascii="宋体" w:hAnsi="宋体" w:cs="Times New Roman"/>
          <w:bCs/>
          <w:sz w:val="28"/>
          <w:szCs w:val="28"/>
        </w:rPr>
      </w:pPr>
      <w:r>
        <w:rPr>
          <w:rFonts w:hint="eastAsia" w:ascii="宋体" w:hAnsi="宋体" w:cs="Times New Roman"/>
          <w:bCs/>
          <w:sz w:val="28"/>
          <w:szCs w:val="28"/>
        </w:rPr>
        <w:t>对本院依法受理的各类案件进行立案登记；办理诉前财产、证据保全；审查受理本院管辖的再审案件；负责指定管辖和移送管辖事项；负责接待各类申诉来访；负责本院受理案件的流程管理；负责审理本院院长依照审判监督程序提起再审、上级人民法院指令再审和人民检察院依法抗诉的刑事、民事、行政案件及各类申请再审案件；负责本院调查研究、司法统计、各类案件及法律文书质量的检查监督、评查管理工作，组织召开审判委员会；负责社会管理综合治理工作；依法办理发生法律效力的民事、行政案件和裁定的执行事项以及刑事案件判决和裁定中有关财产补发的执行事项；负责开庭值庭、提解押解刑事被告人、司法拘留、安全保卫、送达法律文书；协助上级法院执行死刑工作。</w:t>
      </w:r>
    </w:p>
    <w:p>
      <w:pPr>
        <w:ind w:firstLine="420" w:firstLineChars="150"/>
        <w:rPr>
          <w:rFonts w:ascii="宋体" w:hAnsi="宋体" w:cs="Times New Roman"/>
          <w:bCs/>
          <w:sz w:val="28"/>
          <w:szCs w:val="28"/>
        </w:rPr>
      </w:pPr>
      <w:r>
        <w:rPr>
          <w:rFonts w:hint="eastAsia" w:ascii="宋体" w:hAnsi="宋体" w:cs="Times New Roman"/>
          <w:bCs/>
          <w:sz w:val="28"/>
          <w:szCs w:val="28"/>
          <w:lang w:eastAsia="zh-CN"/>
        </w:rPr>
        <w:t>（</w:t>
      </w:r>
      <w:r>
        <w:rPr>
          <w:rFonts w:hint="eastAsia" w:ascii="宋体" w:hAnsi="宋体" w:cs="Times New Roman"/>
          <w:bCs/>
          <w:sz w:val="28"/>
          <w:szCs w:val="28"/>
          <w:lang w:val="en-US" w:eastAsia="zh-CN"/>
        </w:rPr>
        <w:t>3</w:t>
      </w:r>
      <w:r>
        <w:rPr>
          <w:rFonts w:hint="eastAsia" w:ascii="宋体" w:hAnsi="宋体" w:cs="Times New Roman"/>
          <w:bCs/>
          <w:sz w:val="28"/>
          <w:szCs w:val="28"/>
          <w:lang w:eastAsia="zh-CN"/>
        </w:rPr>
        <w:t>）</w:t>
      </w:r>
      <w:r>
        <w:rPr>
          <w:rFonts w:hint="eastAsia"/>
        </w:rPr>
        <w:t xml:space="preserve"> </w:t>
      </w:r>
      <w:r>
        <w:rPr>
          <w:rFonts w:hint="eastAsia" w:ascii="宋体" w:hAnsi="宋体" w:cs="Times New Roman"/>
          <w:bCs/>
          <w:sz w:val="28"/>
          <w:szCs w:val="28"/>
        </w:rPr>
        <w:t>刑事审判庭</w:t>
      </w:r>
    </w:p>
    <w:p>
      <w:pPr>
        <w:rPr>
          <w:rFonts w:hint="eastAsia" w:ascii="宋体" w:hAnsi="宋体"/>
          <w:sz w:val="28"/>
          <w:szCs w:val="28"/>
        </w:rPr>
      </w:pPr>
      <w:r>
        <w:rPr>
          <w:rFonts w:hint="eastAsia" w:ascii="宋体" w:hAnsi="宋体"/>
          <w:sz w:val="28"/>
          <w:szCs w:val="28"/>
        </w:rPr>
        <w:t>依法审理由本院管辖处有期徒刑以下的一审普通刑事案件；负责审理成年人犯罪案件和失足青少年帮教转化工作，加强社会管理综合治理和刑事审判调研工作，配合开展缓刑人员回访和社会矫正工作。</w:t>
      </w:r>
    </w:p>
    <w:p>
      <w:pPr>
        <w:ind w:firstLine="280" w:firstLineChars="100"/>
        <w:rPr>
          <w:rFonts w:hint="eastAsia" w:ascii="宋体" w:hAnsi="宋体"/>
          <w:sz w:val="28"/>
          <w:szCs w:val="28"/>
        </w:rPr>
      </w:pPr>
      <w:r>
        <w:rPr>
          <w:rFonts w:hint="eastAsia" w:ascii="宋体" w:hAnsi="宋体" w:cs="Times New Roman"/>
          <w:bCs/>
          <w:sz w:val="28"/>
          <w:szCs w:val="28"/>
          <w:lang w:eastAsia="zh-CN"/>
        </w:rPr>
        <w:t>（</w:t>
      </w:r>
      <w:r>
        <w:rPr>
          <w:rFonts w:hint="eastAsia" w:ascii="宋体" w:hAnsi="宋体" w:cs="Times New Roman"/>
          <w:bCs/>
          <w:sz w:val="28"/>
          <w:szCs w:val="28"/>
          <w:lang w:val="en-US" w:eastAsia="zh-CN"/>
        </w:rPr>
        <w:t>4</w:t>
      </w:r>
      <w:r>
        <w:rPr>
          <w:rFonts w:hint="eastAsia" w:ascii="宋体" w:hAnsi="宋体" w:cs="Times New Roman"/>
          <w:bCs/>
          <w:sz w:val="28"/>
          <w:szCs w:val="28"/>
          <w:lang w:eastAsia="zh-CN"/>
        </w:rPr>
        <w:t>）</w:t>
      </w:r>
      <w:r>
        <w:rPr>
          <w:rFonts w:hint="eastAsia" w:ascii="宋体" w:hAnsi="宋体"/>
          <w:sz w:val="28"/>
          <w:szCs w:val="28"/>
        </w:rPr>
        <w:t>民事审判庭（行政审判庭）</w:t>
      </w:r>
    </w:p>
    <w:p>
      <w:pPr>
        <w:rPr>
          <w:rFonts w:hint="eastAsia" w:ascii="宋体" w:hAnsi="宋体"/>
          <w:sz w:val="28"/>
          <w:szCs w:val="28"/>
        </w:rPr>
      </w:pPr>
      <w:r>
        <w:rPr>
          <w:rFonts w:hint="eastAsia" w:ascii="宋体" w:hAnsi="宋体"/>
          <w:sz w:val="28"/>
          <w:szCs w:val="28"/>
        </w:rPr>
        <w:t>负责审理本辖区管辖的财产所有权纠纷、婚姻家庭纠纷、民间借贷、各类赔偿案件；负责审理民商事合同纠纷、公司股东权益纠纷以及企业破产案件等；负责制式产权纠纷、劳动争议、商品房买卖纠纷等案件的审理。负责不服行政机关在本辖区所作的具体行政行为而提起诉讼的及市中院指定的一审行政案件的审判与和解；负责非诉行政执行案件立案的审查、执行工作。</w:t>
      </w:r>
    </w:p>
    <w:p>
      <w:pPr>
        <w:autoSpaceDE w:val="0"/>
        <w:autoSpaceDN w:val="0"/>
        <w:adjustRightInd w:val="0"/>
        <w:ind w:firstLine="640" w:firstLineChars="200"/>
        <w:jc w:val="left"/>
        <w:rPr>
          <w:rFonts w:ascii="方正仿宋_GBK" w:hAnsi="Times New Roman" w:eastAsia="方正仿宋_GBK" w:cs="Times New Roman"/>
          <w:b/>
          <w:bCs/>
          <w:sz w:val="32"/>
          <w:szCs w:val="32"/>
        </w:rPr>
      </w:pPr>
      <w:r>
        <w:rPr>
          <w:rFonts w:ascii="Times New Roman" w:hAnsi="Times New Roman" w:eastAsia="方正仿宋简体"/>
          <w:kern w:val="0"/>
          <w:sz w:val="32"/>
          <w:szCs w:val="32"/>
        </w:rPr>
        <w:t>2.机构设置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2"/>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noWrap w:val="0"/>
            <w:vAlign w:val="center"/>
          </w:tcPr>
          <w:p>
            <w:pPr>
              <w:spacing w:line="300" w:lineRule="exact"/>
              <w:jc w:val="center"/>
              <w:rPr>
                <w:rFonts w:hint="eastAsia" w:ascii="宋体" w:hAnsi="宋体" w:eastAsia="宋体" w:cs="宋体"/>
                <w:b/>
                <w:bCs/>
              </w:rPr>
            </w:pPr>
            <w:r>
              <w:rPr>
                <w:rFonts w:hint="eastAsia" w:ascii="宋体" w:hAnsi="宋体" w:eastAsia="宋体" w:cs="宋体"/>
                <w:b/>
                <w:bCs/>
              </w:rPr>
              <w:t>单位名称</w:t>
            </w:r>
          </w:p>
        </w:tc>
        <w:tc>
          <w:tcPr>
            <w:tcW w:w="1134" w:type="dxa"/>
            <w:vMerge w:val="restart"/>
            <w:noWrap w:val="0"/>
            <w:vAlign w:val="center"/>
          </w:tcPr>
          <w:p>
            <w:pPr>
              <w:spacing w:line="300" w:lineRule="exact"/>
              <w:jc w:val="center"/>
              <w:rPr>
                <w:rFonts w:hint="eastAsia" w:ascii="宋体" w:hAnsi="宋体" w:eastAsia="宋体" w:cs="宋体"/>
                <w:b/>
                <w:bCs/>
              </w:rPr>
            </w:pPr>
            <w:r>
              <w:rPr>
                <w:rFonts w:hint="eastAsia" w:ascii="宋体" w:hAnsi="宋体" w:eastAsia="宋体" w:cs="宋体"/>
                <w:b/>
                <w:bCs/>
              </w:rPr>
              <w:t>单位性质</w:t>
            </w:r>
          </w:p>
        </w:tc>
        <w:tc>
          <w:tcPr>
            <w:tcW w:w="1276" w:type="dxa"/>
            <w:vMerge w:val="restart"/>
            <w:noWrap w:val="0"/>
            <w:vAlign w:val="center"/>
          </w:tcPr>
          <w:p>
            <w:pPr>
              <w:spacing w:line="300" w:lineRule="exact"/>
              <w:jc w:val="center"/>
              <w:rPr>
                <w:rFonts w:hint="eastAsia" w:ascii="宋体" w:hAnsi="宋体" w:eastAsia="宋体" w:cs="宋体"/>
                <w:b/>
                <w:bCs/>
              </w:rPr>
            </w:pPr>
            <w:r>
              <w:rPr>
                <w:rFonts w:hint="eastAsia" w:ascii="宋体" w:hAnsi="宋体" w:eastAsia="宋体" w:cs="宋体"/>
                <w:b/>
                <w:bCs/>
              </w:rPr>
              <w:t>单位规格</w:t>
            </w:r>
          </w:p>
        </w:tc>
        <w:tc>
          <w:tcPr>
            <w:tcW w:w="2902" w:type="dxa"/>
            <w:vMerge w:val="restart"/>
            <w:noWrap w:val="0"/>
            <w:vAlign w:val="center"/>
          </w:tcPr>
          <w:p>
            <w:pPr>
              <w:spacing w:line="300" w:lineRule="exact"/>
              <w:jc w:val="center"/>
              <w:rPr>
                <w:rFonts w:hint="eastAsia" w:ascii="宋体" w:hAnsi="宋体" w:eastAsia="宋体" w:cs="宋体"/>
                <w:b/>
                <w:bCs/>
              </w:rPr>
            </w:pPr>
            <w:r>
              <w:rPr>
                <w:rFonts w:hint="eastAsia" w:ascii="宋体" w:hAnsi="宋体" w:eastAsia="宋体" w:cs="宋体"/>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noWrap w:val="0"/>
            <w:vAlign w:val="center"/>
          </w:tcPr>
          <w:p>
            <w:pPr>
              <w:spacing w:line="300" w:lineRule="exact"/>
              <w:jc w:val="left"/>
              <w:outlineLvl w:val="0"/>
              <w:rPr>
                <w:rFonts w:ascii="Times New Roman" w:hAnsi="Times New Roman" w:cs="Times New Roman"/>
              </w:rPr>
            </w:pPr>
          </w:p>
        </w:tc>
        <w:tc>
          <w:tcPr>
            <w:tcW w:w="1134" w:type="dxa"/>
            <w:vMerge w:val="continue"/>
            <w:noWrap w:val="0"/>
            <w:vAlign w:val="center"/>
          </w:tcPr>
          <w:p>
            <w:pPr>
              <w:spacing w:line="300" w:lineRule="exact"/>
              <w:jc w:val="left"/>
              <w:outlineLvl w:val="0"/>
              <w:rPr>
                <w:rFonts w:ascii="Times New Roman" w:hAnsi="Times New Roman" w:cs="Times New Roman"/>
              </w:rPr>
            </w:pPr>
          </w:p>
        </w:tc>
        <w:tc>
          <w:tcPr>
            <w:tcW w:w="1276" w:type="dxa"/>
            <w:vMerge w:val="continue"/>
            <w:noWrap w:val="0"/>
            <w:vAlign w:val="center"/>
          </w:tcPr>
          <w:p>
            <w:pPr>
              <w:spacing w:line="300" w:lineRule="exact"/>
              <w:jc w:val="left"/>
              <w:outlineLvl w:val="0"/>
              <w:rPr>
                <w:rFonts w:ascii="Times New Roman" w:hAnsi="Times New Roman" w:cs="Times New Roman"/>
              </w:rPr>
            </w:pPr>
          </w:p>
        </w:tc>
        <w:tc>
          <w:tcPr>
            <w:tcW w:w="2902" w:type="dxa"/>
            <w:vMerge w:val="continue"/>
            <w:noWrap w:val="0"/>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300" w:lineRule="exact"/>
              <w:jc w:val="left"/>
              <w:rPr>
                <w:rFonts w:hint="eastAsia" w:ascii="宋体" w:hAnsi="宋体" w:eastAsia="宋体" w:cs="宋体"/>
              </w:rPr>
            </w:pPr>
            <w:r>
              <w:rPr>
                <w:rFonts w:hint="eastAsia" w:ascii="宋体" w:hAnsi="宋体" w:eastAsia="宋体" w:cs="宋体"/>
              </w:rPr>
              <w:t>秦皇岛北戴河新区人民法院（机关）</w:t>
            </w:r>
          </w:p>
        </w:tc>
        <w:tc>
          <w:tcPr>
            <w:tcW w:w="1134" w:type="dxa"/>
            <w:noWrap w:val="0"/>
            <w:vAlign w:val="center"/>
          </w:tcPr>
          <w:p>
            <w:pPr>
              <w:spacing w:line="300" w:lineRule="exact"/>
              <w:jc w:val="left"/>
              <w:rPr>
                <w:rFonts w:hint="eastAsia" w:ascii="宋体" w:hAnsi="宋体" w:eastAsia="宋体" w:cs="宋体"/>
              </w:rPr>
            </w:pPr>
            <w:r>
              <w:rPr>
                <w:rFonts w:hint="eastAsia" w:ascii="宋体" w:hAnsi="宋体" w:eastAsia="宋体" w:cs="宋体"/>
              </w:rPr>
              <w:t>行政</w:t>
            </w:r>
          </w:p>
        </w:tc>
        <w:tc>
          <w:tcPr>
            <w:tcW w:w="1276" w:type="dxa"/>
            <w:noWrap w:val="0"/>
            <w:vAlign w:val="center"/>
          </w:tcPr>
          <w:p>
            <w:pPr>
              <w:spacing w:line="300" w:lineRule="exact"/>
              <w:jc w:val="left"/>
              <w:rPr>
                <w:rFonts w:hint="eastAsia" w:ascii="宋体" w:hAnsi="宋体" w:eastAsia="宋体" w:cs="宋体"/>
              </w:rPr>
            </w:pPr>
            <w:r>
              <w:rPr>
                <w:rFonts w:hint="eastAsia" w:ascii="宋体" w:hAnsi="宋体" w:eastAsia="宋体" w:cs="宋体"/>
              </w:rPr>
              <w:t>正县级</w:t>
            </w:r>
          </w:p>
        </w:tc>
        <w:tc>
          <w:tcPr>
            <w:tcW w:w="2902" w:type="dxa"/>
            <w:noWrap w:val="0"/>
            <w:vAlign w:val="center"/>
          </w:tcPr>
          <w:p>
            <w:pPr>
              <w:spacing w:line="300" w:lineRule="exact"/>
              <w:jc w:val="left"/>
              <w:rPr>
                <w:rFonts w:hint="eastAsia" w:ascii="宋体" w:hAnsi="宋体" w:eastAsia="宋体" w:cs="宋体"/>
              </w:rPr>
            </w:pPr>
            <w:r>
              <w:rPr>
                <w:rFonts w:hint="eastAsia" w:ascii="宋体" w:hAnsi="宋体" w:eastAsia="宋体" w:cs="宋体"/>
              </w:rPr>
              <w:t>财政拨款</w:t>
            </w:r>
          </w:p>
        </w:tc>
      </w:tr>
    </w:tbl>
    <w:p>
      <w:pPr>
        <w:rPr>
          <w:rFonts w:hint="eastAsia" w:ascii="宋体" w:hAnsi="宋体"/>
          <w:sz w:val="28"/>
          <w:szCs w:val="28"/>
        </w:rPr>
      </w:pPr>
    </w:p>
    <w:p>
      <w:pPr>
        <w:adjustRightInd w:val="0"/>
        <w:spacing w:line="480" w:lineRule="exact"/>
        <w:rPr>
          <w:rFonts w:ascii="Times New Roman" w:hAnsi="Times New Roman" w:eastAsia="方正仿宋简体"/>
          <w:kern w:val="0"/>
          <w:sz w:val="32"/>
          <w:szCs w:val="32"/>
        </w:rPr>
      </w:pPr>
    </w:p>
    <w:p>
      <w:pPr>
        <w:adjustRightInd w:val="0"/>
        <w:spacing w:line="480" w:lineRule="exact"/>
        <w:rPr>
          <w:rFonts w:ascii="Times New Roman" w:hAnsi="Times New Roman" w:eastAsia="方正仿宋简体"/>
          <w:kern w:val="0"/>
          <w:sz w:val="32"/>
          <w:szCs w:val="32"/>
        </w:rPr>
      </w:pPr>
    </w:p>
    <w:p>
      <w:p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二、部门预算安排总体情况</w:t>
      </w:r>
    </w:p>
    <w:p>
      <w:pPr>
        <w:ind w:firstLine="640"/>
        <w:rPr>
          <w:rFonts w:ascii="宋体" w:hAnsi="宋体" w:cs="Times New Roman"/>
          <w:sz w:val="28"/>
          <w:szCs w:val="28"/>
        </w:rPr>
      </w:pPr>
      <w:r>
        <w:rPr>
          <w:rFonts w:ascii="宋体" w:hAnsi="宋体" w:cs="方正仿宋_GBK"/>
          <w:sz w:val="28"/>
          <w:szCs w:val="28"/>
        </w:rPr>
        <w:t>1</w:t>
      </w:r>
      <w:r>
        <w:rPr>
          <w:rFonts w:hint="eastAsia" w:ascii="宋体" w:hAnsi="宋体" w:cs="方正仿宋_GBK"/>
          <w:sz w:val="28"/>
          <w:szCs w:val="28"/>
        </w:rPr>
        <w:t>、收入说明</w:t>
      </w:r>
    </w:p>
    <w:p>
      <w:pPr>
        <w:ind w:firstLine="640"/>
        <w:rPr>
          <w:rFonts w:ascii="宋体" w:hAnsi="宋体" w:cs="Times New Roman"/>
          <w:sz w:val="28"/>
          <w:szCs w:val="28"/>
        </w:rPr>
      </w:pPr>
      <w:r>
        <w:rPr>
          <w:rFonts w:hint="eastAsia" w:ascii="宋体" w:hAnsi="宋体" w:cs="方正仿宋_GBK"/>
          <w:sz w:val="28"/>
          <w:szCs w:val="28"/>
        </w:rPr>
        <w:t>反映本部门当年全部收入。</w:t>
      </w:r>
      <w:r>
        <w:rPr>
          <w:rFonts w:ascii="宋体" w:hAnsi="宋体" w:cs="方正仿宋_GBK"/>
          <w:sz w:val="28"/>
          <w:szCs w:val="28"/>
        </w:rPr>
        <w:t>20</w:t>
      </w:r>
      <w:r>
        <w:rPr>
          <w:rFonts w:hint="eastAsia" w:ascii="宋体" w:hAnsi="宋体" w:cs="方正仿宋_GBK"/>
          <w:sz w:val="28"/>
          <w:szCs w:val="28"/>
          <w:lang w:val="en-US" w:eastAsia="zh-CN"/>
        </w:rPr>
        <w:t>20</w:t>
      </w:r>
      <w:r>
        <w:rPr>
          <w:rFonts w:hint="eastAsia" w:ascii="宋体" w:hAnsi="宋体" w:cs="方正仿宋_GBK"/>
          <w:sz w:val="28"/>
          <w:szCs w:val="28"/>
        </w:rPr>
        <w:t>年预算收入</w:t>
      </w:r>
      <w:r>
        <w:rPr>
          <w:rFonts w:hint="eastAsia" w:ascii="宋体" w:hAnsi="宋体" w:cs="方正仿宋_GBK"/>
          <w:sz w:val="28"/>
          <w:szCs w:val="28"/>
          <w:lang w:val="en-US" w:eastAsia="zh-CN"/>
        </w:rPr>
        <w:t>863.51</w:t>
      </w:r>
      <w:r>
        <w:rPr>
          <w:rFonts w:hint="eastAsia" w:ascii="宋体" w:hAnsi="宋体" w:cs="方正仿宋_GBK"/>
          <w:sz w:val="28"/>
          <w:szCs w:val="28"/>
        </w:rPr>
        <w:t>万元，其中：一般公共预算收入</w:t>
      </w:r>
      <w:r>
        <w:rPr>
          <w:rFonts w:hint="eastAsia" w:ascii="宋体" w:hAnsi="宋体" w:cs="方正仿宋_GBK"/>
          <w:sz w:val="28"/>
          <w:szCs w:val="28"/>
          <w:lang w:val="en-US" w:eastAsia="zh-CN"/>
        </w:rPr>
        <w:t>863.51</w:t>
      </w:r>
      <w:r>
        <w:rPr>
          <w:rFonts w:hint="eastAsia" w:ascii="宋体" w:hAnsi="宋体" w:cs="方正仿宋_GBK"/>
          <w:sz w:val="28"/>
          <w:szCs w:val="28"/>
        </w:rPr>
        <w:t>万元，</w:t>
      </w:r>
      <w:r>
        <w:rPr>
          <w:rFonts w:hint="eastAsia" w:ascii="宋体" w:hAnsi="宋体" w:cs="方正仿宋_GBK"/>
          <w:sz w:val="28"/>
          <w:szCs w:val="28"/>
          <w:lang w:eastAsia="zh-CN"/>
        </w:rPr>
        <w:t>其中财政拨款</w:t>
      </w:r>
      <w:r>
        <w:rPr>
          <w:rFonts w:hint="eastAsia" w:ascii="宋体" w:hAnsi="宋体" w:cs="方正仿宋_GBK"/>
          <w:sz w:val="28"/>
          <w:szCs w:val="28"/>
          <w:lang w:val="en-US" w:eastAsia="zh-CN"/>
        </w:rPr>
        <w:t>863.51</w:t>
      </w:r>
      <w:r>
        <w:rPr>
          <w:rFonts w:hint="eastAsia" w:ascii="宋体" w:hAnsi="宋体" w:cs="方正仿宋_GBK"/>
          <w:sz w:val="28"/>
          <w:szCs w:val="28"/>
        </w:rPr>
        <w:t>万元。</w:t>
      </w:r>
    </w:p>
    <w:p>
      <w:pPr>
        <w:ind w:firstLine="640"/>
        <w:rPr>
          <w:rFonts w:ascii="宋体" w:hAnsi="宋体" w:cs="Times New Roman"/>
          <w:sz w:val="28"/>
          <w:szCs w:val="28"/>
        </w:rPr>
      </w:pPr>
      <w:r>
        <w:rPr>
          <w:rFonts w:ascii="宋体" w:hAnsi="宋体" w:cs="方正仿宋_GBK"/>
          <w:sz w:val="28"/>
          <w:szCs w:val="28"/>
        </w:rPr>
        <w:t>2</w:t>
      </w:r>
      <w:r>
        <w:rPr>
          <w:rFonts w:hint="eastAsia" w:ascii="宋体" w:hAnsi="宋体" w:cs="方正仿宋_GBK"/>
          <w:sz w:val="28"/>
          <w:szCs w:val="28"/>
        </w:rPr>
        <w:t>、支出说明</w:t>
      </w:r>
    </w:p>
    <w:p>
      <w:pPr>
        <w:ind w:firstLine="640"/>
        <w:rPr>
          <w:rFonts w:hint="eastAsia" w:ascii="宋体" w:hAnsi="宋体" w:cs="方正仿宋_GBK"/>
          <w:sz w:val="28"/>
          <w:szCs w:val="28"/>
          <w:lang w:eastAsia="zh-CN"/>
        </w:rPr>
      </w:pPr>
      <w:r>
        <w:rPr>
          <w:rFonts w:hint="eastAsia" w:ascii="宋体" w:hAnsi="宋体" w:cs="方正仿宋_GBK"/>
          <w:sz w:val="28"/>
          <w:szCs w:val="28"/>
        </w:rPr>
        <w:t>收支预算总表支出栏、基本支出表、项目支出表按经济分类和支出功能分类科目编制，反映秦皇岛北戴河新区人民法院年度部门预算中支出预算的总体情况。</w:t>
      </w:r>
      <w:r>
        <w:rPr>
          <w:rFonts w:ascii="宋体" w:hAnsi="宋体" w:cs="方正仿宋_GBK"/>
          <w:sz w:val="28"/>
          <w:szCs w:val="28"/>
        </w:rPr>
        <w:t>20</w:t>
      </w:r>
      <w:r>
        <w:rPr>
          <w:rFonts w:hint="eastAsia" w:ascii="宋体" w:hAnsi="宋体" w:cs="方正仿宋_GBK"/>
          <w:sz w:val="28"/>
          <w:szCs w:val="28"/>
          <w:lang w:val="en-US" w:eastAsia="zh-CN"/>
        </w:rPr>
        <w:t>20</w:t>
      </w:r>
      <w:r>
        <w:rPr>
          <w:rFonts w:hint="eastAsia" w:ascii="宋体" w:hAnsi="宋体" w:cs="方正仿宋_GBK"/>
          <w:sz w:val="28"/>
          <w:szCs w:val="28"/>
        </w:rPr>
        <w:t>年支出预算</w:t>
      </w:r>
      <w:r>
        <w:rPr>
          <w:rFonts w:hint="eastAsia" w:ascii="宋体" w:hAnsi="宋体" w:cs="方正仿宋_GBK"/>
          <w:sz w:val="28"/>
          <w:szCs w:val="28"/>
          <w:lang w:val="en-US" w:eastAsia="zh-CN"/>
        </w:rPr>
        <w:t>863.51</w:t>
      </w:r>
      <w:r>
        <w:rPr>
          <w:rFonts w:hint="eastAsia" w:ascii="宋体" w:hAnsi="宋体" w:cs="方正仿宋_GBK"/>
          <w:sz w:val="28"/>
          <w:szCs w:val="28"/>
        </w:rPr>
        <w:t>万元，其中基本支出</w:t>
      </w:r>
      <w:r>
        <w:rPr>
          <w:rFonts w:hint="eastAsia" w:ascii="宋体" w:hAnsi="宋体" w:cs="方正仿宋_GBK"/>
          <w:sz w:val="28"/>
          <w:szCs w:val="28"/>
          <w:lang w:val="en-US" w:eastAsia="zh-CN"/>
        </w:rPr>
        <w:t>689.01</w:t>
      </w:r>
      <w:r>
        <w:rPr>
          <w:rFonts w:hint="eastAsia" w:ascii="宋体" w:hAnsi="宋体" w:cs="方正仿宋_GBK"/>
          <w:sz w:val="28"/>
          <w:szCs w:val="28"/>
        </w:rPr>
        <w:t>万元，包括人员经费</w:t>
      </w:r>
      <w:r>
        <w:rPr>
          <w:rFonts w:hint="eastAsia" w:ascii="宋体" w:hAnsi="宋体" w:cs="方正仿宋_GBK"/>
          <w:sz w:val="28"/>
          <w:szCs w:val="28"/>
          <w:lang w:val="en-US" w:eastAsia="zh-CN"/>
        </w:rPr>
        <w:t>594.75万元</w:t>
      </w:r>
      <w:r>
        <w:rPr>
          <w:rFonts w:hint="eastAsia" w:ascii="宋体" w:hAnsi="宋体" w:cs="方正仿宋_GBK"/>
          <w:sz w:val="28"/>
          <w:szCs w:val="28"/>
        </w:rPr>
        <w:t>和日常公用经费</w:t>
      </w:r>
      <w:r>
        <w:rPr>
          <w:rFonts w:hint="eastAsia" w:ascii="宋体" w:hAnsi="宋体" w:cs="方正仿宋_GBK"/>
          <w:sz w:val="28"/>
          <w:szCs w:val="28"/>
          <w:lang w:val="en-US" w:eastAsia="zh-CN"/>
        </w:rPr>
        <w:t>94.26万元</w:t>
      </w:r>
      <w:r>
        <w:rPr>
          <w:rFonts w:hint="eastAsia" w:ascii="宋体" w:hAnsi="宋体" w:cs="方正仿宋_GBK"/>
          <w:sz w:val="28"/>
          <w:szCs w:val="28"/>
        </w:rPr>
        <w:t>；项目支出</w:t>
      </w:r>
      <w:r>
        <w:rPr>
          <w:rFonts w:hint="eastAsia" w:ascii="宋体" w:hAnsi="宋体" w:cs="方正仿宋_GBK"/>
          <w:sz w:val="28"/>
          <w:szCs w:val="28"/>
          <w:lang w:val="en-US" w:eastAsia="zh-CN"/>
        </w:rPr>
        <w:t>174.50</w:t>
      </w:r>
      <w:r>
        <w:rPr>
          <w:rFonts w:hint="eastAsia" w:ascii="宋体" w:hAnsi="宋体" w:cs="方正仿宋_GBK"/>
          <w:sz w:val="28"/>
          <w:szCs w:val="28"/>
        </w:rPr>
        <w:t>万元，主要为</w:t>
      </w:r>
      <w:r>
        <w:rPr>
          <w:rFonts w:hint="eastAsia" w:ascii="宋体" w:hAnsi="宋体" w:cs="方正仿宋_GBK"/>
          <w:sz w:val="28"/>
          <w:szCs w:val="28"/>
          <w:lang w:eastAsia="zh-CN"/>
        </w:rPr>
        <w:t>办案业务经费（含人民陪审员及收监人员体检费）</w:t>
      </w:r>
      <w:r>
        <w:rPr>
          <w:rFonts w:hint="eastAsia" w:ascii="宋体" w:hAnsi="宋体" w:cs="方正仿宋_GBK"/>
          <w:sz w:val="28"/>
          <w:szCs w:val="28"/>
        </w:rPr>
        <w:t>、办公用房租赁</w:t>
      </w:r>
      <w:r>
        <w:rPr>
          <w:rFonts w:hint="eastAsia" w:ascii="宋体" w:hAnsi="宋体" w:cs="方正仿宋_GBK"/>
          <w:sz w:val="28"/>
          <w:szCs w:val="28"/>
          <w:lang w:eastAsia="zh-CN"/>
        </w:rPr>
        <w:t>费、法院运行保障经费。</w:t>
      </w:r>
    </w:p>
    <w:p>
      <w:pPr>
        <w:ind w:firstLine="640"/>
        <w:rPr>
          <w:rFonts w:ascii="宋体" w:hAnsi="宋体" w:cs="Times New Roman"/>
          <w:sz w:val="28"/>
          <w:szCs w:val="28"/>
        </w:rPr>
      </w:pPr>
      <w:r>
        <w:rPr>
          <w:rFonts w:ascii="宋体" w:hAnsi="宋体" w:cs="方正仿宋_GBK"/>
          <w:sz w:val="28"/>
          <w:szCs w:val="28"/>
        </w:rPr>
        <w:t>3</w:t>
      </w:r>
      <w:r>
        <w:rPr>
          <w:rFonts w:hint="eastAsia" w:ascii="宋体" w:hAnsi="宋体" w:cs="方正仿宋_GBK"/>
          <w:sz w:val="28"/>
          <w:szCs w:val="28"/>
        </w:rPr>
        <w:t>、比上年增减情况</w:t>
      </w:r>
    </w:p>
    <w:p>
      <w:pPr>
        <w:ind w:firstLine="640"/>
        <w:rPr>
          <w:rFonts w:ascii="宋体" w:hAnsi="宋体" w:cs="Times New Roman"/>
          <w:sz w:val="28"/>
          <w:szCs w:val="28"/>
        </w:rPr>
      </w:pPr>
      <w:r>
        <w:rPr>
          <w:rFonts w:ascii="宋体" w:hAnsi="宋体" w:cs="方正仿宋_GBK"/>
          <w:sz w:val="28"/>
          <w:szCs w:val="28"/>
        </w:rPr>
        <w:t>20</w:t>
      </w:r>
      <w:r>
        <w:rPr>
          <w:rFonts w:hint="eastAsia" w:ascii="宋体" w:hAnsi="宋体" w:cs="方正仿宋_GBK"/>
          <w:sz w:val="28"/>
          <w:szCs w:val="28"/>
          <w:lang w:val="en-US" w:eastAsia="zh-CN"/>
        </w:rPr>
        <w:t>20</w:t>
      </w:r>
      <w:r>
        <w:rPr>
          <w:rFonts w:hint="eastAsia" w:ascii="宋体" w:hAnsi="宋体" w:cs="方正仿宋_GBK"/>
          <w:sz w:val="28"/>
          <w:szCs w:val="28"/>
        </w:rPr>
        <w:t>年预算收支安排</w:t>
      </w:r>
      <w:r>
        <w:rPr>
          <w:rFonts w:hint="eastAsia" w:ascii="宋体" w:hAnsi="宋体" w:cs="方正仿宋_GBK"/>
          <w:sz w:val="28"/>
          <w:szCs w:val="28"/>
          <w:lang w:val="en-US" w:eastAsia="zh-CN"/>
        </w:rPr>
        <w:t>863.51</w:t>
      </w:r>
      <w:r>
        <w:rPr>
          <w:rFonts w:hint="eastAsia" w:ascii="宋体" w:hAnsi="宋体" w:cs="方正仿宋_GBK"/>
          <w:sz w:val="28"/>
          <w:szCs w:val="28"/>
        </w:rPr>
        <w:t>万元，较</w:t>
      </w:r>
      <w:r>
        <w:rPr>
          <w:rFonts w:ascii="宋体" w:hAnsi="宋体" w:cs="方正仿宋_GBK"/>
          <w:sz w:val="28"/>
          <w:szCs w:val="28"/>
        </w:rPr>
        <w:t>20</w:t>
      </w:r>
      <w:r>
        <w:rPr>
          <w:rFonts w:hint="eastAsia" w:ascii="宋体" w:hAnsi="宋体" w:cs="方正仿宋_GBK"/>
          <w:sz w:val="28"/>
          <w:szCs w:val="28"/>
          <w:lang w:val="en-US" w:eastAsia="zh-CN"/>
        </w:rPr>
        <w:t>19</w:t>
      </w:r>
      <w:r>
        <w:rPr>
          <w:rFonts w:hint="eastAsia" w:ascii="宋体" w:hAnsi="宋体" w:cs="方正仿宋_GBK"/>
          <w:sz w:val="28"/>
          <w:szCs w:val="28"/>
        </w:rPr>
        <w:t>年预算增加</w:t>
      </w:r>
      <w:r>
        <w:rPr>
          <w:rFonts w:hint="eastAsia" w:ascii="宋体" w:hAnsi="宋体" w:cs="方正仿宋_GBK"/>
          <w:sz w:val="28"/>
          <w:szCs w:val="28"/>
          <w:lang w:val="en-US" w:eastAsia="zh-CN"/>
        </w:rPr>
        <w:t>109.95</w:t>
      </w:r>
      <w:r>
        <w:rPr>
          <w:rFonts w:hint="eastAsia" w:ascii="宋体" w:hAnsi="宋体" w:cs="方正仿宋_GBK"/>
          <w:sz w:val="28"/>
          <w:szCs w:val="28"/>
        </w:rPr>
        <w:t>万元，其中：基本支出增加</w:t>
      </w:r>
      <w:r>
        <w:rPr>
          <w:rFonts w:hint="eastAsia" w:ascii="宋体" w:hAnsi="宋体" w:cs="方正仿宋_GBK"/>
          <w:sz w:val="28"/>
          <w:szCs w:val="28"/>
          <w:lang w:val="en-US" w:eastAsia="zh-CN"/>
        </w:rPr>
        <w:t>90.75</w:t>
      </w:r>
      <w:r>
        <w:rPr>
          <w:rFonts w:hint="eastAsia" w:ascii="宋体" w:hAnsi="宋体" w:cs="方正仿宋_GBK"/>
          <w:sz w:val="28"/>
          <w:szCs w:val="28"/>
        </w:rPr>
        <w:t>万元，主要为增加人员经费支出；项目支出增加</w:t>
      </w:r>
      <w:r>
        <w:rPr>
          <w:rFonts w:hint="eastAsia" w:ascii="宋体" w:hAnsi="宋体" w:cs="方正仿宋_GBK"/>
          <w:sz w:val="28"/>
          <w:szCs w:val="28"/>
          <w:lang w:val="en-US" w:eastAsia="zh-CN"/>
        </w:rPr>
        <w:t>19.2</w:t>
      </w:r>
      <w:r>
        <w:rPr>
          <w:rFonts w:hint="eastAsia" w:ascii="宋体" w:hAnsi="宋体" w:cs="方正仿宋_GBK"/>
          <w:sz w:val="28"/>
          <w:szCs w:val="28"/>
        </w:rPr>
        <w:t>万元，主要为增加法院</w:t>
      </w:r>
      <w:r>
        <w:rPr>
          <w:rFonts w:hint="eastAsia" w:ascii="宋体" w:hAnsi="宋体" w:cs="方正仿宋_GBK"/>
          <w:sz w:val="28"/>
          <w:szCs w:val="28"/>
          <w:lang w:eastAsia="zh-CN"/>
        </w:rPr>
        <w:t>运行保障经费</w:t>
      </w:r>
      <w:r>
        <w:rPr>
          <w:rFonts w:hint="eastAsia" w:ascii="宋体" w:hAnsi="宋体" w:cs="方正仿宋_GBK"/>
          <w:sz w:val="28"/>
          <w:szCs w:val="28"/>
        </w:rPr>
        <w:t>。</w:t>
      </w:r>
    </w:p>
    <w:p>
      <w:p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三、机关运行经费安排情况</w:t>
      </w:r>
    </w:p>
    <w:p>
      <w:pPr>
        <w:spacing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机关运行经费共计安排</w:t>
      </w:r>
      <w:r>
        <w:rPr>
          <w:rFonts w:hint="eastAsia" w:ascii="宋体" w:hAnsi="宋体" w:eastAsia="宋体" w:cs="宋体"/>
          <w:sz w:val="28"/>
          <w:szCs w:val="28"/>
          <w:lang w:val="en-US" w:eastAsia="zh-CN"/>
        </w:rPr>
        <w:t>92.31</w:t>
      </w:r>
      <w:r>
        <w:rPr>
          <w:rFonts w:hint="eastAsia" w:ascii="宋体" w:hAnsi="宋体" w:eastAsia="宋体" w:cs="宋体"/>
          <w:sz w:val="28"/>
          <w:szCs w:val="28"/>
        </w:rPr>
        <w:t>万元，主要用于机关办公区的办公及印刷费、差旅费、会议费、培训费、公务用车运行维护费等日常运行支出。其中：办公费</w:t>
      </w:r>
      <w:r>
        <w:rPr>
          <w:rFonts w:hint="eastAsia" w:ascii="宋体" w:hAnsi="宋体" w:eastAsia="宋体" w:cs="宋体"/>
          <w:sz w:val="28"/>
          <w:szCs w:val="28"/>
          <w:lang w:val="en-US" w:eastAsia="zh-CN"/>
        </w:rPr>
        <w:t>13.26</w:t>
      </w:r>
      <w:r>
        <w:rPr>
          <w:rFonts w:hint="eastAsia" w:ascii="宋体" w:hAnsi="宋体" w:eastAsia="宋体" w:cs="宋体"/>
          <w:sz w:val="28"/>
          <w:szCs w:val="28"/>
        </w:rPr>
        <w:t>万元，</w:t>
      </w:r>
      <w:r>
        <w:rPr>
          <w:rFonts w:hint="eastAsia" w:ascii="宋体" w:hAnsi="宋体" w:cs="宋体"/>
          <w:sz w:val="28"/>
          <w:szCs w:val="28"/>
          <w:lang w:eastAsia="zh-CN"/>
        </w:rPr>
        <w:t>印刷费</w:t>
      </w:r>
      <w:r>
        <w:rPr>
          <w:rFonts w:hint="eastAsia" w:ascii="宋体" w:hAnsi="宋体" w:cs="宋体"/>
          <w:sz w:val="28"/>
          <w:szCs w:val="28"/>
          <w:lang w:val="en-US" w:eastAsia="zh-CN"/>
        </w:rPr>
        <w:t>1.95万元，水费2万元，电费15万元，差旅费8.97万元，会议费6元，培训费2.96万元，公务接待费1.37万元，工会经费3.95万元，福利费2.90万元，公务用车运行维护费23.40万元，</w:t>
      </w:r>
      <w:bookmarkStart w:id="0" w:name="_GoBack"/>
      <w:bookmarkEnd w:id="0"/>
      <w:r>
        <w:rPr>
          <w:rFonts w:hint="eastAsia" w:ascii="宋体" w:hAnsi="宋体" w:cs="宋体"/>
          <w:sz w:val="28"/>
          <w:szCs w:val="28"/>
          <w:lang w:val="en-US" w:eastAsia="zh-CN"/>
        </w:rPr>
        <w:t>其他交通费用10.52万元，其他商品和服务支出0.03万元。</w:t>
      </w:r>
    </w:p>
    <w:p>
      <w:pPr>
        <w:widowControl/>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四、财政拔款</w:t>
      </w:r>
      <w:r>
        <w:rPr>
          <w:rFonts w:hint="eastAsia" w:ascii="Times New Roman" w:hAnsi="Times New Roman" w:eastAsia="黑体"/>
          <w:kern w:val="0"/>
          <w:sz w:val="32"/>
          <w:szCs w:val="32"/>
        </w:rPr>
        <w:t>“</w:t>
      </w:r>
      <w:r>
        <w:rPr>
          <w:rFonts w:ascii="Times New Roman" w:hAnsi="Times New Roman" w:eastAsia="黑体"/>
          <w:kern w:val="0"/>
          <w:sz w:val="32"/>
          <w:szCs w:val="32"/>
        </w:rPr>
        <w:t>三公</w:t>
      </w:r>
      <w:r>
        <w:rPr>
          <w:rFonts w:hint="eastAsia" w:ascii="Times New Roman" w:hAnsi="Times New Roman" w:eastAsia="黑体"/>
          <w:kern w:val="0"/>
          <w:sz w:val="32"/>
          <w:szCs w:val="32"/>
        </w:rPr>
        <w:t>”</w:t>
      </w:r>
      <w:r>
        <w:rPr>
          <w:rFonts w:ascii="Times New Roman" w:hAnsi="Times New Roman" w:eastAsia="黑体"/>
          <w:kern w:val="0"/>
          <w:sz w:val="32"/>
          <w:szCs w:val="32"/>
        </w:rPr>
        <w:t>经费预算情况及增减变化原因</w:t>
      </w:r>
    </w:p>
    <w:p>
      <w:pPr>
        <w:autoSpaceDE w:val="0"/>
        <w:autoSpaceDN w:val="0"/>
        <w:adjustRightInd w:val="0"/>
        <w:ind w:left="198" w:firstLine="640" w:firstLineChars="200"/>
        <w:jc w:val="left"/>
        <w:rPr>
          <w:rFonts w:ascii="宋体" w:hAnsi="宋体" w:cs="Times New Roman"/>
          <w:sz w:val="28"/>
          <w:szCs w:val="28"/>
        </w:rPr>
      </w:pPr>
      <w:r>
        <w:rPr>
          <w:rFonts w:hint="eastAsia" w:ascii="Times New Roman" w:eastAsia="方正仿宋简体"/>
          <w:kern w:val="0"/>
          <w:sz w:val="32"/>
          <w:szCs w:val="32"/>
          <w:lang w:val="en-US" w:eastAsia="zh-CN"/>
        </w:rPr>
        <w:t xml:space="preserve"> </w:t>
      </w:r>
      <w:r>
        <w:rPr>
          <w:rFonts w:ascii="宋体" w:hAnsi="宋体" w:cs="方正仿宋_GBK"/>
          <w:sz w:val="28"/>
          <w:szCs w:val="28"/>
        </w:rPr>
        <w:t>20</w:t>
      </w:r>
      <w:r>
        <w:rPr>
          <w:rFonts w:hint="eastAsia" w:ascii="宋体" w:hAnsi="宋体" w:cs="方正仿宋_GBK"/>
          <w:sz w:val="28"/>
          <w:szCs w:val="28"/>
          <w:lang w:val="en-US" w:eastAsia="zh-CN"/>
        </w:rPr>
        <w:t>20</w:t>
      </w:r>
      <w:r>
        <w:rPr>
          <w:rFonts w:hint="eastAsia" w:ascii="宋体" w:hAnsi="宋体" w:cs="方正仿宋_GBK"/>
          <w:sz w:val="28"/>
          <w:szCs w:val="28"/>
        </w:rPr>
        <w:t>年，我院</w:t>
      </w:r>
      <w:r>
        <w:rPr>
          <w:rFonts w:ascii="宋体" w:hAnsi="宋体" w:cs="方正仿宋_GBK"/>
          <w:sz w:val="28"/>
          <w:szCs w:val="28"/>
        </w:rPr>
        <w:t xml:space="preserve"> </w:t>
      </w:r>
      <w:r>
        <w:rPr>
          <w:rFonts w:hint="eastAsia" w:ascii="宋体" w:hAnsi="宋体" w:cs="方正仿宋_GBK"/>
          <w:sz w:val="28"/>
          <w:szCs w:val="28"/>
        </w:rPr>
        <w:t>“三公”经费预算安排</w:t>
      </w:r>
      <w:r>
        <w:rPr>
          <w:rFonts w:hint="eastAsia" w:ascii="宋体" w:hAnsi="宋体" w:cs="方正仿宋_GBK"/>
          <w:sz w:val="28"/>
          <w:szCs w:val="28"/>
          <w:lang w:val="en-US" w:eastAsia="zh-CN"/>
        </w:rPr>
        <w:t>24.77</w:t>
      </w:r>
      <w:r>
        <w:rPr>
          <w:rFonts w:hint="eastAsia" w:ascii="宋体" w:hAnsi="宋体" w:cs="方正仿宋_GBK"/>
          <w:sz w:val="28"/>
          <w:szCs w:val="28"/>
        </w:rPr>
        <w:t>万元，其中因公出国（境）费0万元；公务用车购置及运维费</w:t>
      </w:r>
      <w:r>
        <w:rPr>
          <w:rFonts w:hint="eastAsia" w:ascii="宋体" w:hAnsi="宋体" w:cs="方正仿宋_GBK"/>
          <w:sz w:val="28"/>
          <w:szCs w:val="28"/>
          <w:lang w:val="en-US" w:eastAsia="zh-CN"/>
        </w:rPr>
        <w:t>23.40</w:t>
      </w:r>
      <w:r>
        <w:rPr>
          <w:rFonts w:hint="eastAsia" w:ascii="宋体" w:hAnsi="宋体" w:cs="方正仿宋_GBK"/>
          <w:sz w:val="28"/>
          <w:szCs w:val="28"/>
        </w:rPr>
        <w:t>万元（其中：公务用车购置费为</w:t>
      </w:r>
      <w:r>
        <w:rPr>
          <w:rFonts w:ascii="宋体" w:hAnsi="宋体" w:cs="方正仿宋_GBK"/>
          <w:sz w:val="28"/>
          <w:szCs w:val="28"/>
        </w:rPr>
        <w:t>0</w:t>
      </w:r>
      <w:r>
        <w:rPr>
          <w:rFonts w:hint="eastAsia" w:ascii="宋体" w:hAnsi="宋体" w:cs="方正仿宋_GBK"/>
          <w:sz w:val="28"/>
          <w:szCs w:val="28"/>
        </w:rPr>
        <w:t>万元，公务用车运行费</w:t>
      </w:r>
      <w:r>
        <w:rPr>
          <w:rFonts w:hint="eastAsia" w:ascii="宋体" w:hAnsi="宋体" w:cs="方正仿宋_GBK"/>
          <w:sz w:val="28"/>
          <w:szCs w:val="28"/>
          <w:lang w:val="en-US" w:eastAsia="zh-CN"/>
        </w:rPr>
        <w:t>23.40</w:t>
      </w:r>
      <w:r>
        <w:rPr>
          <w:rFonts w:hint="eastAsia" w:ascii="宋体" w:hAnsi="宋体" w:cs="方正仿宋_GBK"/>
          <w:sz w:val="28"/>
          <w:szCs w:val="28"/>
        </w:rPr>
        <w:t>万元</w:t>
      </w:r>
      <w:r>
        <w:rPr>
          <w:rFonts w:ascii="宋体" w:hAnsi="宋体" w:cs="方正仿宋_GBK"/>
          <w:sz w:val="28"/>
          <w:szCs w:val="28"/>
        </w:rPr>
        <w:t>)</w:t>
      </w:r>
      <w:r>
        <w:rPr>
          <w:rFonts w:hint="eastAsia" w:ascii="宋体" w:hAnsi="宋体" w:cs="方正仿宋_GBK"/>
          <w:sz w:val="28"/>
          <w:szCs w:val="28"/>
        </w:rPr>
        <w:t>；公务接待费</w:t>
      </w:r>
      <w:r>
        <w:rPr>
          <w:rFonts w:hint="eastAsia" w:ascii="宋体" w:hAnsi="宋体" w:cs="方正仿宋_GBK"/>
          <w:sz w:val="28"/>
          <w:szCs w:val="28"/>
          <w:lang w:val="en-US" w:eastAsia="zh-CN"/>
        </w:rPr>
        <w:t>1.37</w:t>
      </w:r>
      <w:r>
        <w:rPr>
          <w:rFonts w:hint="eastAsia" w:ascii="宋体" w:hAnsi="宋体" w:cs="方正仿宋_GBK"/>
          <w:sz w:val="28"/>
          <w:szCs w:val="28"/>
        </w:rPr>
        <w:t>万元。比</w:t>
      </w:r>
      <w:r>
        <w:rPr>
          <w:rFonts w:ascii="宋体" w:hAnsi="宋体" w:cs="方正仿宋_GBK"/>
          <w:sz w:val="28"/>
          <w:szCs w:val="28"/>
        </w:rPr>
        <w:t>20</w:t>
      </w:r>
      <w:r>
        <w:rPr>
          <w:rFonts w:hint="eastAsia" w:ascii="宋体" w:hAnsi="宋体" w:cs="方正仿宋_GBK"/>
          <w:sz w:val="28"/>
          <w:szCs w:val="28"/>
          <w:lang w:val="en-US" w:eastAsia="zh-CN"/>
        </w:rPr>
        <w:t>19</w:t>
      </w:r>
      <w:r>
        <w:rPr>
          <w:rFonts w:hint="eastAsia" w:ascii="宋体" w:hAnsi="宋体" w:cs="方正仿宋_GBK"/>
          <w:sz w:val="28"/>
          <w:szCs w:val="28"/>
        </w:rPr>
        <w:t>年</w:t>
      </w:r>
      <w:r>
        <w:rPr>
          <w:rFonts w:hint="eastAsia" w:ascii="宋体" w:hAnsi="宋体" w:cs="方正仿宋_GBK"/>
          <w:sz w:val="28"/>
          <w:szCs w:val="28"/>
          <w:lang w:eastAsia="zh-CN"/>
        </w:rPr>
        <w:t>减少</w:t>
      </w:r>
      <w:r>
        <w:rPr>
          <w:rFonts w:hint="eastAsia" w:ascii="宋体" w:hAnsi="宋体" w:cs="方正仿宋_GBK"/>
          <w:sz w:val="28"/>
          <w:szCs w:val="28"/>
          <w:lang w:val="en-US" w:eastAsia="zh-CN"/>
        </w:rPr>
        <w:t>5.05</w:t>
      </w:r>
      <w:r>
        <w:rPr>
          <w:rFonts w:hint="eastAsia" w:ascii="宋体" w:hAnsi="宋体" w:cs="方正仿宋_GBK"/>
          <w:sz w:val="28"/>
          <w:szCs w:val="28"/>
        </w:rPr>
        <w:t>万元，主要原因是公务用车运行维护费</w:t>
      </w:r>
      <w:r>
        <w:rPr>
          <w:rFonts w:hint="eastAsia" w:ascii="宋体" w:hAnsi="宋体" w:cs="方正仿宋_GBK"/>
          <w:sz w:val="28"/>
          <w:szCs w:val="28"/>
          <w:lang w:eastAsia="zh-CN"/>
        </w:rPr>
        <w:t>减少</w:t>
      </w:r>
      <w:r>
        <w:rPr>
          <w:rFonts w:hint="eastAsia" w:ascii="宋体" w:hAnsi="宋体" w:cs="方正仿宋_GBK"/>
          <w:sz w:val="28"/>
          <w:szCs w:val="28"/>
          <w:lang w:val="en-US" w:eastAsia="zh-CN"/>
        </w:rPr>
        <w:t>4.5</w:t>
      </w:r>
      <w:r>
        <w:rPr>
          <w:rFonts w:hint="eastAsia" w:ascii="宋体" w:hAnsi="宋体" w:cs="方正仿宋_GBK"/>
          <w:sz w:val="28"/>
          <w:szCs w:val="28"/>
        </w:rPr>
        <w:t>万元，</w:t>
      </w:r>
      <w:r>
        <w:rPr>
          <w:rFonts w:hint="eastAsia" w:ascii="宋体" w:hAnsi="宋体" w:cs="方正仿宋_GBK"/>
          <w:sz w:val="28"/>
          <w:szCs w:val="28"/>
          <w:lang w:eastAsia="zh-CN"/>
        </w:rPr>
        <w:t>公务接待费减少</w:t>
      </w:r>
      <w:r>
        <w:rPr>
          <w:rFonts w:hint="eastAsia" w:ascii="宋体" w:hAnsi="宋体" w:cs="方正仿宋_GBK"/>
          <w:sz w:val="28"/>
          <w:szCs w:val="28"/>
          <w:lang w:val="en-US" w:eastAsia="zh-CN"/>
        </w:rPr>
        <w:t>0.55万元。</w:t>
      </w:r>
    </w:p>
    <w:p>
      <w:pPr>
        <w:widowControl/>
        <w:adjustRightInd w:val="0"/>
        <w:spacing w:line="480" w:lineRule="exact"/>
        <w:ind w:firstLine="640" w:firstLineChars="200"/>
        <w:rPr>
          <w:rFonts w:ascii="Times New Roman" w:hAnsi="Times New Roman" w:eastAsia="方正仿宋简体"/>
          <w:kern w:val="0"/>
          <w:sz w:val="32"/>
          <w:szCs w:val="32"/>
        </w:rPr>
      </w:pPr>
    </w:p>
    <w:p>
      <w:pPr>
        <w:widowControl/>
        <w:numPr>
          <w:ilvl w:val="0"/>
          <w:numId w:val="1"/>
        </w:num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政府采购预算情况</w:t>
      </w:r>
    </w:p>
    <w:p>
      <w:pPr>
        <w:widowControl/>
        <w:numPr>
          <w:numId w:val="0"/>
        </w:numPr>
        <w:adjustRightInd w:val="0"/>
        <w:spacing w:line="480" w:lineRule="exact"/>
        <w:ind w:firstLine="1120" w:firstLineChars="400"/>
        <w:rPr>
          <w:rFonts w:hint="eastAsia" w:ascii="Times New Roman" w:hAnsi="Times New Roman" w:eastAsia="黑体"/>
          <w:kern w:val="0"/>
          <w:sz w:val="32"/>
          <w:szCs w:val="32"/>
          <w:lang w:eastAsia="zh-CN"/>
        </w:rPr>
      </w:pPr>
      <w:r>
        <w:rPr>
          <w:rFonts w:hint="eastAsia" w:ascii="宋体" w:hAnsi="宋体" w:eastAsia="宋体" w:cs="宋体"/>
          <w:b w:val="0"/>
          <w:bCs w:val="0"/>
          <w:kern w:val="0"/>
          <w:sz w:val="28"/>
          <w:szCs w:val="28"/>
          <w:lang w:eastAsia="zh-CN"/>
        </w:rPr>
        <w:t>无</w:t>
      </w:r>
    </w:p>
    <w:p>
      <w:pPr>
        <w:widowControl/>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六、国有资产信息情况</w:t>
      </w:r>
    </w:p>
    <w:p>
      <w:pPr>
        <w:ind w:firstLine="640"/>
        <w:rPr>
          <w:rFonts w:hint="eastAsia" w:ascii="宋体" w:hAnsi="宋体" w:cs="仿宋_GB2312"/>
          <w:sz w:val="28"/>
          <w:szCs w:val="28"/>
        </w:rPr>
      </w:pPr>
      <w:r>
        <w:rPr>
          <w:rFonts w:hint="eastAsia" w:ascii="宋体" w:hAnsi="宋体" w:cs="仿宋_GB2312"/>
          <w:sz w:val="28"/>
          <w:szCs w:val="28"/>
        </w:rPr>
        <w:t>秦皇岛北戴河新区人民法院上年末固定资产金额为</w:t>
      </w:r>
      <w:r>
        <w:rPr>
          <w:rFonts w:hint="eastAsia" w:ascii="宋体" w:hAnsi="宋体" w:cs="仿宋_GB2312"/>
          <w:sz w:val="28"/>
          <w:szCs w:val="28"/>
          <w:lang w:val="en-US" w:eastAsia="zh-CN"/>
        </w:rPr>
        <w:t>764.17</w:t>
      </w:r>
      <w:r>
        <w:rPr>
          <w:rFonts w:hint="eastAsia" w:ascii="宋体" w:hAnsi="宋体" w:cs="仿宋_GB2312"/>
          <w:sz w:val="28"/>
          <w:szCs w:val="28"/>
        </w:rPr>
        <w:t>万元。</w:t>
      </w:r>
    </w:p>
    <w:tbl>
      <w:tblPr>
        <w:tblStyle w:val="2"/>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截止时间：201</w:t>
            </w:r>
            <w:r>
              <w:rPr>
                <w:rFonts w:hint="eastAsia" w:ascii="宋体" w:hAnsi="宋体" w:cs="宋体"/>
                <w:kern w:val="0"/>
                <w:sz w:val="22"/>
                <w:lang w:val="en-US" w:eastAsia="zh-CN"/>
              </w:rPr>
              <w:t>9</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296"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764.17</w:t>
            </w:r>
          </w:p>
        </w:tc>
      </w:tr>
      <w:tr>
        <w:tblPrEx>
          <w:tblCellMar>
            <w:top w:w="0" w:type="dxa"/>
            <w:left w:w="108" w:type="dxa"/>
            <w:bottom w:w="0" w:type="dxa"/>
            <w:right w:w="108" w:type="dxa"/>
          </w:tblCellMar>
        </w:tblPrEx>
        <w:trPr>
          <w:trHeight w:val="419"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9</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167.28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380.35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216.54</w:t>
            </w:r>
          </w:p>
        </w:tc>
      </w:tr>
    </w:tbl>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hAnsi="Times New Roman"/>
          <w:kern w:val="0"/>
          <w:sz w:val="24"/>
        </w:rPr>
      </w:pPr>
      <w:r>
        <w:rPr>
          <w:rFonts w:ascii="Times New Roman" w:hAnsi="Times New Roman" w:eastAsia="黑体"/>
          <w:kern w:val="0"/>
          <w:sz w:val="32"/>
          <w:szCs w:val="32"/>
        </w:rPr>
        <w:t>七、名词解释</w:t>
      </w:r>
    </w:p>
    <w:p>
      <w:pPr>
        <w:spacing w:line="520" w:lineRule="exact"/>
        <w:ind w:right="4506" w:firstLine="560" w:firstLineChars="200"/>
        <w:jc w:val="both"/>
        <w:rPr>
          <w:rFonts w:hint="eastAsia" w:ascii="宋体" w:hAnsi="宋体" w:eastAsia="宋体" w:cs="宋体"/>
          <w:sz w:val="28"/>
          <w:szCs w:val="28"/>
        </w:rPr>
      </w:pPr>
      <w:r>
        <w:rPr>
          <w:rFonts w:hint="eastAsia" w:ascii="宋体" w:hAnsi="宋体" w:eastAsia="宋体" w:cs="宋体"/>
          <w:sz w:val="28"/>
          <w:szCs w:val="28"/>
        </w:rPr>
        <w:t>（一）一般公共预算拨款收入：主要指市级财政当年拨付的资金。</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（二）基本支出：指为保障机构正常运转、完成日常工作任务而发生的人员支出和公用支出。</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（三）项目支出：指在基本支出之外为完成特定行政任务和事业发展目标所发生的支出。</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（四）上缴上级支出：指所属单位上缴上级的支出。</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八、其他需说明的事项</w:t>
      </w:r>
    </w:p>
    <w:p>
      <w:pPr>
        <w:widowControl/>
        <w:adjustRightInd w:val="0"/>
        <w:spacing w:line="480" w:lineRule="exact"/>
        <w:ind w:firstLine="1120" w:firstLineChars="40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无</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hakuyoxingshu7000"/>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4F53C"/>
    <w:multiLevelType w:val="singleLevel"/>
    <w:tmpl w:val="BE54F53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2AFA"/>
    <w:rsid w:val="005A3FDD"/>
    <w:rsid w:val="00F22AFA"/>
    <w:rsid w:val="126512BB"/>
    <w:rsid w:val="1A216AD7"/>
    <w:rsid w:val="461C278D"/>
    <w:rsid w:val="54136187"/>
    <w:rsid w:val="778603DC"/>
    <w:rsid w:val="7C4A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213</Words>
  <Characters>1220</Characters>
  <Lines>10</Lines>
  <Paragraphs>2</Paragraphs>
  <TotalTime>5</TotalTime>
  <ScaleCrop>false</ScaleCrop>
  <LinksUpToDate>false</LinksUpToDate>
  <CharactersWithSpaces>1431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2020-02-11T03:52:00Z</dcterms:created>
  <dc:creator>Hewlett-Packard Company</dc:creator>
  <cp:lastModifiedBy>Administrator</cp:lastModifiedBy>
  <dcterms:modified xsi:type="dcterms:W3CDTF">2020-02-18T07:41:19Z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