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0E" w:rsidRDefault="00895E82">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北戴河新区社会发展局</w:t>
      </w:r>
    </w:p>
    <w:p w:rsidR="0023060E" w:rsidRDefault="00895E82">
      <w:pPr>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2019</w:t>
      </w:r>
      <w:r>
        <w:rPr>
          <w:rFonts w:ascii="Times New Roman" w:eastAsia="方正小标宋简体" w:hAnsi="Times New Roman" w:cs="Times New Roman"/>
          <w:sz w:val="44"/>
          <w:szCs w:val="44"/>
        </w:rPr>
        <w:t>年部门预算公开说明</w:t>
      </w:r>
    </w:p>
    <w:p w:rsidR="0023060E" w:rsidRDefault="00895E82">
      <w:pPr>
        <w:ind w:firstLine="640"/>
        <w:rPr>
          <w:rFonts w:ascii="Times New Roman" w:eastAsia="黑体" w:hAnsi="Times New Roman" w:cs="Times New Roman"/>
          <w:sz w:val="32"/>
          <w:szCs w:val="32"/>
        </w:rPr>
      </w:pPr>
      <w:r>
        <w:rPr>
          <w:rFonts w:ascii="Times New Roman" w:eastAsia="黑体" w:hAnsi="Times New Roman" w:cs="Times New Roman"/>
          <w:sz w:val="32"/>
          <w:szCs w:val="32"/>
        </w:rPr>
        <w:t>一、部门职责及机构设置情况</w:t>
      </w:r>
    </w:p>
    <w:p w:rsidR="0023060E" w:rsidRDefault="00895E82">
      <w:pPr>
        <w:adjustRightInd w:val="0"/>
        <w:spacing w:line="560" w:lineRule="exact"/>
        <w:ind w:firstLineChars="200" w:firstLine="640"/>
        <w:rPr>
          <w:rFonts w:ascii="方正楷体简体" w:eastAsia="方正楷体简体" w:hAnsi="方正楷体简体" w:cs="方正楷体简体"/>
          <w:b/>
          <w:sz w:val="32"/>
          <w:szCs w:val="32"/>
        </w:rPr>
      </w:pPr>
      <w:r>
        <w:rPr>
          <w:rFonts w:ascii="方正楷体简体" w:eastAsia="方正楷体简体" w:hAnsi="方正楷体简体" w:cs="方正楷体简体" w:hint="eastAsia"/>
          <w:bCs/>
          <w:sz w:val="32"/>
          <w:szCs w:val="32"/>
        </w:rPr>
        <w:t>（一）部门职责</w:t>
      </w:r>
    </w:p>
    <w:p w:rsidR="0023060E" w:rsidRDefault="00895E82">
      <w:pPr>
        <w:adjustRightIn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1.负责社会事业发展总体规划的编制并组织实施。</w:t>
      </w:r>
    </w:p>
    <w:p w:rsidR="0023060E" w:rsidRDefault="00895E82">
      <w:pPr>
        <w:adjustRightIn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2.负责三农政策研究、农业结构调整、农业生产服务、动植物疫情防控、农技指导推广、农业园区建设、农业执法等工作，落实农村工作委员会日常工作。</w:t>
      </w:r>
    </w:p>
    <w:p w:rsidR="0023060E" w:rsidRDefault="00895E82">
      <w:pPr>
        <w:adjustRightIn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3.负责农村综合改革、农村财务资产管理、三资平台建设、农村土地管理、土地流转和土地仲裁管理工作。</w:t>
      </w:r>
    </w:p>
    <w:p w:rsidR="0023060E" w:rsidRDefault="00895E82">
      <w:pPr>
        <w:adjustRightIn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4.负责街道社区、基层政权、低保五保、救灾救济、武装兵役、残联、老龄、扶贫、殡葬、婚登、地名事务、民政执法等工作。</w:t>
      </w:r>
    </w:p>
    <w:p w:rsidR="0023060E" w:rsidRDefault="00895E82">
      <w:pPr>
        <w:adjustRightIn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5.负责水资源管理、河道水域整治、水利工程建设、防汛抗旱、人畜饮水、水土保持、移民管理、水务执法等工作。</w:t>
      </w:r>
    </w:p>
    <w:p w:rsidR="0023060E" w:rsidRDefault="00895E82">
      <w:pPr>
        <w:adjustRightIn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6.负责疾病防控、医药卫生体制改革、卫生服务保健、人口和计划生育管理、卫生监督执法等工作。</w:t>
      </w:r>
    </w:p>
    <w:p w:rsidR="0023060E" w:rsidRDefault="00895E82">
      <w:pPr>
        <w:adjustRightIn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7.负责教育布局调整、学校日常管理、教育教学研究、教学督导、教师培训、升学入学管理、教</w:t>
      </w:r>
      <w:r>
        <w:rPr>
          <w:rFonts w:ascii="方正仿宋简体" w:eastAsia="方正仿宋简体" w:hAnsi="方正仿宋简体" w:cs="方正仿宋简体" w:hint="eastAsia"/>
          <w:kern w:val="0"/>
          <w:sz w:val="32"/>
          <w:szCs w:val="32"/>
        </w:rPr>
        <w:lastRenderedPageBreak/>
        <w:t>育执法等工作，负责新区教育园区规划、开发、建设、管理的协调、指导、服务、监督工作。</w:t>
      </w:r>
    </w:p>
    <w:p w:rsidR="0023060E" w:rsidRDefault="00895E82">
      <w:pPr>
        <w:adjustRightIn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8.负责人居环境整治及美丽乡村建设。</w:t>
      </w:r>
    </w:p>
    <w:p w:rsidR="0023060E" w:rsidRDefault="00895E82">
      <w:pPr>
        <w:adjustRightInd w:val="0"/>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kern w:val="0"/>
          <w:sz w:val="32"/>
          <w:szCs w:val="32"/>
        </w:rPr>
        <w:t>9.负责承办新区党工委、管委会交办的其他事项。</w:t>
      </w:r>
    </w:p>
    <w:p w:rsidR="0023060E" w:rsidRDefault="00895E82">
      <w:pPr>
        <w:autoSpaceDE w:val="0"/>
        <w:autoSpaceDN w:val="0"/>
        <w:adjustRightInd w:val="0"/>
        <w:ind w:firstLineChars="200" w:firstLine="640"/>
        <w:jc w:val="left"/>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（二）机构设置：</w:t>
      </w:r>
    </w:p>
    <w:p w:rsidR="0023060E" w:rsidRDefault="00895E82">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23060E">
        <w:trPr>
          <w:trHeight w:val="300"/>
          <w:tblHeader/>
          <w:jc w:val="center"/>
        </w:trPr>
        <w:tc>
          <w:tcPr>
            <w:tcW w:w="4417" w:type="dxa"/>
            <w:vMerge w:val="restart"/>
            <w:vAlign w:val="center"/>
          </w:tcPr>
          <w:p w:rsidR="0023060E" w:rsidRDefault="00895E82">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rsidR="0023060E" w:rsidRDefault="00895E82">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vAlign w:val="center"/>
          </w:tcPr>
          <w:p w:rsidR="0023060E" w:rsidRDefault="00895E82">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rsidR="0023060E" w:rsidRDefault="00895E82">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23060E">
        <w:trPr>
          <w:trHeight w:val="300"/>
          <w:tblHeader/>
          <w:jc w:val="center"/>
        </w:trPr>
        <w:tc>
          <w:tcPr>
            <w:tcW w:w="4417" w:type="dxa"/>
            <w:vMerge/>
            <w:vAlign w:val="center"/>
          </w:tcPr>
          <w:p w:rsidR="0023060E" w:rsidRDefault="0023060E">
            <w:pPr>
              <w:spacing w:line="300" w:lineRule="exact"/>
              <w:jc w:val="left"/>
              <w:outlineLvl w:val="0"/>
              <w:rPr>
                <w:rFonts w:ascii="Times New Roman" w:hAnsi="Times New Roman" w:cs="Times New Roman"/>
                <w:szCs w:val="24"/>
              </w:rPr>
            </w:pPr>
          </w:p>
        </w:tc>
        <w:tc>
          <w:tcPr>
            <w:tcW w:w="1134" w:type="dxa"/>
            <w:vMerge/>
            <w:vAlign w:val="center"/>
          </w:tcPr>
          <w:p w:rsidR="0023060E" w:rsidRDefault="0023060E">
            <w:pPr>
              <w:spacing w:line="300" w:lineRule="exact"/>
              <w:jc w:val="left"/>
              <w:outlineLvl w:val="0"/>
              <w:rPr>
                <w:rFonts w:ascii="Times New Roman" w:hAnsi="Times New Roman" w:cs="Times New Roman"/>
                <w:szCs w:val="24"/>
              </w:rPr>
            </w:pPr>
          </w:p>
        </w:tc>
        <w:tc>
          <w:tcPr>
            <w:tcW w:w="1276" w:type="dxa"/>
            <w:vMerge/>
            <w:vAlign w:val="center"/>
          </w:tcPr>
          <w:p w:rsidR="0023060E" w:rsidRDefault="0023060E">
            <w:pPr>
              <w:spacing w:line="300" w:lineRule="exact"/>
              <w:jc w:val="left"/>
              <w:outlineLvl w:val="0"/>
              <w:rPr>
                <w:rFonts w:ascii="Times New Roman" w:hAnsi="Times New Roman" w:cs="Times New Roman"/>
                <w:szCs w:val="24"/>
              </w:rPr>
            </w:pPr>
          </w:p>
        </w:tc>
        <w:tc>
          <w:tcPr>
            <w:tcW w:w="2902" w:type="dxa"/>
            <w:vMerge/>
            <w:vAlign w:val="center"/>
          </w:tcPr>
          <w:p w:rsidR="0023060E" w:rsidRDefault="0023060E">
            <w:pPr>
              <w:spacing w:line="300" w:lineRule="exact"/>
              <w:jc w:val="left"/>
              <w:outlineLvl w:val="0"/>
              <w:rPr>
                <w:rFonts w:ascii="Times New Roman" w:hAnsi="Times New Roman" w:cs="Times New Roman"/>
                <w:szCs w:val="24"/>
              </w:rPr>
            </w:pPr>
          </w:p>
        </w:tc>
      </w:tr>
      <w:tr w:rsidR="0023060E">
        <w:trPr>
          <w:trHeight w:val="227"/>
          <w:jc w:val="center"/>
        </w:trPr>
        <w:tc>
          <w:tcPr>
            <w:tcW w:w="4417" w:type="dxa"/>
            <w:vAlign w:val="center"/>
          </w:tcPr>
          <w:p w:rsidR="0023060E" w:rsidRDefault="00895E82">
            <w:pPr>
              <w:spacing w:line="300" w:lineRule="exact"/>
              <w:jc w:val="left"/>
              <w:rPr>
                <w:rFonts w:ascii="Times New Roman" w:eastAsia="方正书宋_GBK" w:hAnsi="Times New Roman" w:cs="Times New Roman"/>
                <w:szCs w:val="24"/>
              </w:rPr>
            </w:pPr>
            <w:r>
              <w:rPr>
                <w:rFonts w:ascii="方正书宋_GBK" w:eastAsia="方正书宋_GBK" w:hint="eastAsia"/>
              </w:rPr>
              <w:t>秦皇岛北戴河新区社会发展局</w:t>
            </w:r>
          </w:p>
        </w:tc>
        <w:tc>
          <w:tcPr>
            <w:tcW w:w="1134" w:type="dxa"/>
            <w:vAlign w:val="center"/>
          </w:tcPr>
          <w:p w:rsidR="0023060E" w:rsidRDefault="00895E82">
            <w:pPr>
              <w:spacing w:line="300" w:lineRule="exact"/>
              <w:jc w:val="center"/>
              <w:rPr>
                <w:rFonts w:ascii="Times New Roman" w:eastAsia="方正书宋_GBK" w:hAnsi="Times New Roman" w:cs="Times New Roman"/>
                <w:szCs w:val="24"/>
              </w:rPr>
            </w:pPr>
            <w:r>
              <w:rPr>
                <w:rFonts w:ascii="方正书宋_GBK" w:eastAsia="方正书宋_GBK" w:hint="eastAsia"/>
              </w:rPr>
              <w:t>行政</w:t>
            </w:r>
          </w:p>
        </w:tc>
        <w:tc>
          <w:tcPr>
            <w:tcW w:w="1276" w:type="dxa"/>
            <w:vAlign w:val="center"/>
          </w:tcPr>
          <w:p w:rsidR="0023060E" w:rsidRDefault="00895E82">
            <w:pPr>
              <w:spacing w:line="300" w:lineRule="exact"/>
              <w:jc w:val="center"/>
              <w:rPr>
                <w:rFonts w:ascii="Times New Roman" w:eastAsia="方正书宋_GBK" w:hAnsi="Times New Roman" w:cs="Times New Roman"/>
                <w:szCs w:val="24"/>
              </w:rPr>
            </w:pPr>
            <w:r>
              <w:rPr>
                <w:rFonts w:ascii="方正书宋_GBK" w:eastAsia="方正书宋_GBK" w:hint="eastAsia"/>
              </w:rPr>
              <w:t>副处级</w:t>
            </w:r>
          </w:p>
        </w:tc>
        <w:tc>
          <w:tcPr>
            <w:tcW w:w="2902" w:type="dxa"/>
            <w:vAlign w:val="center"/>
          </w:tcPr>
          <w:p w:rsidR="0023060E" w:rsidRDefault="00895E82">
            <w:pPr>
              <w:spacing w:line="300" w:lineRule="exact"/>
              <w:jc w:val="center"/>
              <w:rPr>
                <w:rFonts w:ascii="Times New Roman" w:eastAsia="方正书宋_GBK" w:hAnsi="Times New Roman" w:cs="Times New Roman"/>
                <w:szCs w:val="24"/>
              </w:rPr>
            </w:pPr>
            <w:r>
              <w:rPr>
                <w:rFonts w:ascii="方正书宋_GBK" w:eastAsia="方正书宋_GBK" w:hint="eastAsia"/>
              </w:rPr>
              <w:t>财政拨款</w:t>
            </w:r>
          </w:p>
        </w:tc>
      </w:tr>
      <w:tr w:rsidR="0023060E">
        <w:trPr>
          <w:trHeight w:val="227"/>
          <w:jc w:val="center"/>
        </w:trPr>
        <w:tc>
          <w:tcPr>
            <w:tcW w:w="4417" w:type="dxa"/>
            <w:vAlign w:val="center"/>
          </w:tcPr>
          <w:p w:rsidR="0023060E" w:rsidRDefault="00895E82">
            <w:pPr>
              <w:spacing w:line="300" w:lineRule="exact"/>
              <w:jc w:val="left"/>
              <w:rPr>
                <w:rFonts w:ascii="Times New Roman" w:eastAsia="方正书宋_GBK" w:hAnsi="Times New Roman" w:cs="Times New Roman"/>
              </w:rPr>
            </w:pPr>
            <w:r>
              <w:rPr>
                <w:rFonts w:ascii="方正书宋_GBK" w:eastAsia="方正书宋_GBK" w:hint="eastAsia"/>
              </w:rPr>
              <w:t>秦皇岛北戴河新区民政事业服务中心</w:t>
            </w:r>
          </w:p>
        </w:tc>
        <w:tc>
          <w:tcPr>
            <w:tcW w:w="1134" w:type="dxa"/>
            <w:vAlign w:val="center"/>
          </w:tcPr>
          <w:p w:rsidR="0023060E" w:rsidRDefault="00895E82">
            <w:pPr>
              <w:spacing w:line="300" w:lineRule="exact"/>
              <w:jc w:val="center"/>
              <w:rPr>
                <w:rFonts w:ascii="Times New Roman" w:eastAsia="方正书宋_GBK" w:hAnsi="Times New Roman" w:cs="Times New Roman"/>
                <w:szCs w:val="24"/>
              </w:rPr>
            </w:pPr>
            <w:r>
              <w:rPr>
                <w:rFonts w:ascii="方正书宋_GBK" w:eastAsia="方正书宋_GBK" w:hint="eastAsia"/>
              </w:rPr>
              <w:t>事业</w:t>
            </w:r>
          </w:p>
        </w:tc>
        <w:tc>
          <w:tcPr>
            <w:tcW w:w="1276" w:type="dxa"/>
            <w:vAlign w:val="center"/>
          </w:tcPr>
          <w:p w:rsidR="0023060E" w:rsidRDefault="00895E82">
            <w:pPr>
              <w:spacing w:line="300" w:lineRule="exact"/>
              <w:jc w:val="center"/>
              <w:rPr>
                <w:rFonts w:ascii="Times New Roman" w:eastAsia="方正书宋_GBK" w:hAnsi="Times New Roman" w:cs="Times New Roman"/>
                <w:szCs w:val="24"/>
              </w:rPr>
            </w:pPr>
            <w:r>
              <w:rPr>
                <w:rFonts w:ascii="方正书宋_GBK" w:eastAsia="方正书宋_GBK" w:hint="eastAsia"/>
              </w:rPr>
              <w:t>正股级</w:t>
            </w:r>
          </w:p>
        </w:tc>
        <w:tc>
          <w:tcPr>
            <w:tcW w:w="2902" w:type="dxa"/>
            <w:vAlign w:val="center"/>
          </w:tcPr>
          <w:p w:rsidR="0023060E" w:rsidRDefault="00895E82">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财政性资金基本保证</w:t>
            </w:r>
          </w:p>
        </w:tc>
      </w:tr>
      <w:tr w:rsidR="0023060E">
        <w:trPr>
          <w:trHeight w:val="227"/>
          <w:jc w:val="center"/>
        </w:trPr>
        <w:tc>
          <w:tcPr>
            <w:tcW w:w="4417" w:type="dxa"/>
            <w:vAlign w:val="center"/>
          </w:tcPr>
          <w:p w:rsidR="0023060E" w:rsidRDefault="0023060E">
            <w:pPr>
              <w:spacing w:line="300" w:lineRule="exact"/>
              <w:jc w:val="left"/>
              <w:rPr>
                <w:rFonts w:ascii="Times New Roman" w:eastAsia="方正书宋_GBK" w:hAnsi="Times New Roman" w:cs="Times New Roman"/>
                <w:szCs w:val="24"/>
              </w:rPr>
            </w:pPr>
          </w:p>
        </w:tc>
        <w:tc>
          <w:tcPr>
            <w:tcW w:w="1134" w:type="dxa"/>
            <w:vAlign w:val="center"/>
          </w:tcPr>
          <w:p w:rsidR="0023060E" w:rsidRDefault="0023060E">
            <w:pPr>
              <w:spacing w:line="300" w:lineRule="exact"/>
              <w:jc w:val="center"/>
              <w:rPr>
                <w:rFonts w:ascii="Times New Roman" w:eastAsia="方正书宋_GBK" w:hAnsi="Times New Roman" w:cs="Times New Roman"/>
                <w:szCs w:val="24"/>
              </w:rPr>
            </w:pPr>
          </w:p>
        </w:tc>
        <w:tc>
          <w:tcPr>
            <w:tcW w:w="1276" w:type="dxa"/>
            <w:vAlign w:val="center"/>
          </w:tcPr>
          <w:p w:rsidR="0023060E" w:rsidRDefault="0023060E">
            <w:pPr>
              <w:spacing w:line="300" w:lineRule="exact"/>
              <w:jc w:val="center"/>
              <w:rPr>
                <w:rFonts w:ascii="Times New Roman" w:eastAsia="方正书宋_GBK" w:hAnsi="Times New Roman" w:cs="Times New Roman"/>
                <w:szCs w:val="24"/>
              </w:rPr>
            </w:pPr>
          </w:p>
        </w:tc>
        <w:tc>
          <w:tcPr>
            <w:tcW w:w="2902" w:type="dxa"/>
            <w:vAlign w:val="center"/>
          </w:tcPr>
          <w:p w:rsidR="0023060E" w:rsidRDefault="0023060E">
            <w:pPr>
              <w:spacing w:line="300" w:lineRule="exact"/>
              <w:jc w:val="center"/>
              <w:rPr>
                <w:rFonts w:ascii="Times New Roman" w:eastAsia="方正书宋_GBK" w:hAnsi="Times New Roman" w:cs="Times New Roman"/>
                <w:szCs w:val="24"/>
              </w:rPr>
            </w:pPr>
          </w:p>
        </w:tc>
      </w:tr>
      <w:tr w:rsidR="0023060E">
        <w:trPr>
          <w:trHeight w:val="227"/>
          <w:jc w:val="center"/>
        </w:trPr>
        <w:tc>
          <w:tcPr>
            <w:tcW w:w="4417" w:type="dxa"/>
            <w:vAlign w:val="center"/>
          </w:tcPr>
          <w:p w:rsidR="0023060E" w:rsidRDefault="0023060E">
            <w:pPr>
              <w:spacing w:line="300" w:lineRule="exact"/>
              <w:jc w:val="left"/>
              <w:rPr>
                <w:rFonts w:ascii="Times New Roman" w:eastAsia="方正书宋_GBK" w:hAnsi="Times New Roman" w:cs="Times New Roman"/>
                <w:szCs w:val="24"/>
              </w:rPr>
            </w:pPr>
          </w:p>
        </w:tc>
        <w:tc>
          <w:tcPr>
            <w:tcW w:w="1134" w:type="dxa"/>
            <w:vAlign w:val="center"/>
          </w:tcPr>
          <w:p w:rsidR="0023060E" w:rsidRDefault="0023060E">
            <w:pPr>
              <w:spacing w:line="300" w:lineRule="exact"/>
              <w:jc w:val="center"/>
              <w:rPr>
                <w:rFonts w:ascii="Times New Roman" w:eastAsia="方正书宋_GBK" w:hAnsi="Times New Roman" w:cs="Times New Roman"/>
                <w:szCs w:val="24"/>
              </w:rPr>
            </w:pPr>
          </w:p>
        </w:tc>
        <w:tc>
          <w:tcPr>
            <w:tcW w:w="1276" w:type="dxa"/>
            <w:vAlign w:val="center"/>
          </w:tcPr>
          <w:p w:rsidR="0023060E" w:rsidRDefault="0023060E">
            <w:pPr>
              <w:spacing w:line="300" w:lineRule="exact"/>
              <w:jc w:val="center"/>
              <w:rPr>
                <w:rFonts w:ascii="Times New Roman" w:eastAsia="方正书宋_GBK" w:hAnsi="Times New Roman" w:cs="Times New Roman"/>
                <w:szCs w:val="24"/>
              </w:rPr>
            </w:pPr>
          </w:p>
        </w:tc>
        <w:tc>
          <w:tcPr>
            <w:tcW w:w="2902" w:type="dxa"/>
            <w:vAlign w:val="center"/>
          </w:tcPr>
          <w:p w:rsidR="0023060E" w:rsidRDefault="0023060E">
            <w:pPr>
              <w:spacing w:line="300" w:lineRule="exact"/>
              <w:jc w:val="center"/>
              <w:rPr>
                <w:rFonts w:ascii="Times New Roman" w:eastAsia="方正书宋_GBK" w:hAnsi="Times New Roman" w:cs="Times New Roman"/>
                <w:szCs w:val="24"/>
              </w:rPr>
            </w:pPr>
          </w:p>
        </w:tc>
      </w:tr>
    </w:tbl>
    <w:p w:rsidR="0023060E" w:rsidRDefault="0023060E">
      <w:pPr>
        <w:rPr>
          <w:rFonts w:ascii="Times New Roman" w:hAnsi="Times New Roman" w:cs="Times New Roman"/>
        </w:rPr>
      </w:pPr>
    </w:p>
    <w:p w:rsidR="0023060E" w:rsidRDefault="00895E82">
      <w:pPr>
        <w:ind w:firstLine="640"/>
        <w:rPr>
          <w:rFonts w:ascii="Times New Roman" w:eastAsia="黑体" w:hAnsi="Times New Roman" w:cs="Times New Roman"/>
          <w:sz w:val="32"/>
          <w:szCs w:val="32"/>
        </w:rPr>
      </w:pPr>
      <w:r>
        <w:rPr>
          <w:rFonts w:ascii="Times New Roman" w:eastAsia="黑体" w:hAnsi="Times New Roman" w:cs="Times New Roman"/>
          <w:sz w:val="32"/>
          <w:szCs w:val="32"/>
        </w:rPr>
        <w:t>二、部门预算安排总体情况</w:t>
      </w:r>
    </w:p>
    <w:p w:rsidR="0023060E" w:rsidRDefault="00895E82">
      <w:pPr>
        <w:ind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按照预算管理有关规定，目前我区部门预算的编制实行综合预算制度，即全部收入和支出都反映在预算中。社会发展局机关及所属事业单位的收支包含在部门预算中。</w:t>
      </w:r>
    </w:p>
    <w:p w:rsidR="0023060E" w:rsidRDefault="00895E82">
      <w:pPr>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hint="eastAsia"/>
          <w:bCs/>
          <w:sz w:val="32"/>
          <w:szCs w:val="32"/>
        </w:rPr>
        <w:t>（一）</w:t>
      </w:r>
      <w:r>
        <w:rPr>
          <w:rFonts w:ascii="Times New Roman" w:eastAsia="方正仿宋简体" w:hAnsi="Times New Roman" w:cs="Times New Roman"/>
          <w:bCs/>
          <w:sz w:val="32"/>
          <w:szCs w:val="32"/>
        </w:rPr>
        <w:t>收入说明</w:t>
      </w:r>
    </w:p>
    <w:p w:rsidR="0023060E" w:rsidRDefault="00895E82">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反映</w:t>
      </w:r>
      <w:r>
        <w:rPr>
          <w:rFonts w:ascii="Times New Roman" w:eastAsia="方正仿宋简体" w:hAnsi="Times New Roman" w:cs="Times New Roman"/>
          <w:sz w:val="32"/>
          <w:szCs w:val="32"/>
        </w:rPr>
        <w:t>本部门当年全部收入，</w:t>
      </w:r>
      <w:r>
        <w:rPr>
          <w:rFonts w:ascii="Times New Roman" w:eastAsia="方正仿宋简体" w:hAnsi="Times New Roman" w:cs="Times New Roman" w:hint="eastAsia"/>
          <w:sz w:val="32"/>
          <w:szCs w:val="32"/>
        </w:rPr>
        <w:t>2019</w:t>
      </w:r>
      <w:r>
        <w:rPr>
          <w:rFonts w:ascii="Times New Roman" w:eastAsia="方正仿宋简体" w:hAnsi="Times New Roman" w:cs="Times New Roman"/>
          <w:sz w:val="32"/>
          <w:szCs w:val="32"/>
        </w:rPr>
        <w:t>年预算收入</w:t>
      </w:r>
      <w:r>
        <w:rPr>
          <w:rFonts w:ascii="Times New Roman" w:eastAsia="方正仿宋简体" w:hAnsi="Times New Roman" w:cs="Times New Roman" w:hint="eastAsia"/>
          <w:sz w:val="32"/>
          <w:szCs w:val="32"/>
        </w:rPr>
        <w:t>13014.32</w:t>
      </w:r>
      <w:r>
        <w:rPr>
          <w:rFonts w:ascii="Times New Roman" w:eastAsia="方正仿宋简体" w:hAnsi="Times New Roman" w:cs="Times New Roman"/>
          <w:sz w:val="32"/>
          <w:szCs w:val="32"/>
        </w:rPr>
        <w:t>万元，其中：一般公共预算拨款</w:t>
      </w:r>
      <w:r>
        <w:rPr>
          <w:rFonts w:ascii="Times New Roman" w:eastAsia="方正仿宋简体" w:hAnsi="Times New Roman" w:cs="Times New Roman" w:hint="eastAsia"/>
          <w:sz w:val="32"/>
          <w:szCs w:val="32"/>
        </w:rPr>
        <w:t>8014.32</w:t>
      </w:r>
      <w:r>
        <w:rPr>
          <w:rFonts w:ascii="Times New Roman" w:eastAsia="方正仿宋简体" w:hAnsi="Times New Roman" w:cs="Times New Roman"/>
          <w:sz w:val="32"/>
          <w:szCs w:val="32"/>
        </w:rPr>
        <w:t>万元；基金预算拨款</w:t>
      </w:r>
      <w:r>
        <w:rPr>
          <w:rFonts w:ascii="Times New Roman" w:eastAsia="方正仿宋简体" w:hAnsi="Times New Roman" w:cs="Times New Roman" w:hint="eastAsia"/>
          <w:sz w:val="32"/>
          <w:szCs w:val="32"/>
        </w:rPr>
        <w:t>5000</w:t>
      </w:r>
      <w:r>
        <w:rPr>
          <w:rFonts w:ascii="Times New Roman" w:eastAsia="方正仿宋简体" w:hAnsi="Times New Roman" w:cs="Times New Roman"/>
          <w:sz w:val="32"/>
          <w:szCs w:val="32"/>
        </w:rPr>
        <w:t>万元。</w:t>
      </w:r>
    </w:p>
    <w:p w:rsidR="0023060E" w:rsidRDefault="00895E82">
      <w:pPr>
        <w:ind w:left="640"/>
        <w:rPr>
          <w:rFonts w:ascii="Times New Roman" w:eastAsia="方正仿宋简体" w:hAnsi="Times New Roman" w:cs="Times New Roman"/>
          <w:bCs/>
          <w:sz w:val="32"/>
          <w:szCs w:val="32"/>
        </w:rPr>
      </w:pPr>
      <w:r>
        <w:rPr>
          <w:rFonts w:ascii="Times New Roman" w:eastAsia="方正仿宋简体" w:hAnsi="Times New Roman" w:cs="Times New Roman" w:hint="eastAsia"/>
          <w:bCs/>
          <w:sz w:val="32"/>
          <w:szCs w:val="32"/>
        </w:rPr>
        <w:t>（二）</w:t>
      </w:r>
      <w:r>
        <w:rPr>
          <w:rFonts w:ascii="Times New Roman" w:eastAsia="方正仿宋简体" w:hAnsi="Times New Roman" w:cs="Times New Roman"/>
          <w:bCs/>
          <w:sz w:val="32"/>
          <w:szCs w:val="32"/>
        </w:rPr>
        <w:t>支出说明</w:t>
      </w:r>
    </w:p>
    <w:p w:rsidR="0023060E" w:rsidRDefault="00895E82">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部门预算收支总表支出栏、基本支出表、项目支出表按经济分类和支出功能分类科目编制，反映部门预算中支出预算的总体情况。</w:t>
      </w:r>
      <w:r>
        <w:rPr>
          <w:rFonts w:ascii="Times New Roman" w:eastAsia="方正仿宋简体" w:hAnsi="Times New Roman" w:cs="Times New Roman" w:hint="eastAsia"/>
          <w:sz w:val="32"/>
          <w:szCs w:val="32"/>
        </w:rPr>
        <w:t>2019</w:t>
      </w:r>
      <w:r>
        <w:rPr>
          <w:rFonts w:ascii="Times New Roman" w:eastAsia="方正仿宋简体" w:hAnsi="Times New Roman" w:cs="Times New Roman"/>
          <w:sz w:val="32"/>
          <w:szCs w:val="32"/>
        </w:rPr>
        <w:t>年部门支出预算为</w:t>
      </w:r>
      <w:r>
        <w:rPr>
          <w:rFonts w:ascii="Times New Roman" w:eastAsia="方正仿宋简体" w:hAnsi="Times New Roman" w:cs="Times New Roman" w:hint="eastAsia"/>
          <w:sz w:val="32"/>
          <w:szCs w:val="32"/>
        </w:rPr>
        <w:t>13014.32</w:t>
      </w:r>
      <w:r>
        <w:rPr>
          <w:rFonts w:ascii="Times New Roman" w:eastAsia="方正仿宋简体" w:hAnsi="Times New Roman" w:cs="Times New Roman"/>
          <w:sz w:val="32"/>
          <w:szCs w:val="32"/>
        </w:rPr>
        <w:t>万元，其中基本支出</w:t>
      </w:r>
      <w:r>
        <w:rPr>
          <w:rFonts w:ascii="Times New Roman" w:eastAsia="方正仿宋简体" w:hAnsi="Times New Roman" w:cs="Times New Roman" w:hint="eastAsia"/>
          <w:sz w:val="32"/>
          <w:szCs w:val="32"/>
        </w:rPr>
        <w:t>856.12</w:t>
      </w:r>
      <w:r>
        <w:rPr>
          <w:rFonts w:ascii="Times New Roman" w:eastAsia="方正仿宋简体" w:hAnsi="Times New Roman" w:cs="Times New Roman"/>
          <w:sz w:val="32"/>
          <w:szCs w:val="32"/>
        </w:rPr>
        <w:t>万元，包括人员经费</w:t>
      </w:r>
      <w:r>
        <w:rPr>
          <w:rFonts w:ascii="Times New Roman" w:eastAsia="方正仿宋简体" w:hAnsi="Times New Roman" w:cs="Times New Roman" w:hint="eastAsia"/>
          <w:sz w:val="32"/>
          <w:szCs w:val="32"/>
        </w:rPr>
        <w:t>690.9</w:t>
      </w:r>
      <w:r>
        <w:rPr>
          <w:rFonts w:ascii="Times New Roman" w:eastAsia="方正仿宋简体" w:hAnsi="Times New Roman" w:cs="Times New Roman"/>
          <w:sz w:val="32"/>
          <w:szCs w:val="32"/>
        </w:rPr>
        <w:t>万元和日常公用经费</w:t>
      </w:r>
      <w:r>
        <w:rPr>
          <w:rFonts w:ascii="Times New Roman" w:eastAsia="方正仿宋简体" w:hAnsi="Times New Roman" w:cs="Times New Roman" w:hint="eastAsia"/>
          <w:sz w:val="32"/>
          <w:szCs w:val="32"/>
        </w:rPr>
        <w:t>165.22</w:t>
      </w:r>
      <w:r>
        <w:rPr>
          <w:rFonts w:ascii="Times New Roman" w:eastAsia="方正仿宋简体" w:hAnsi="Times New Roman" w:cs="Times New Roman"/>
          <w:sz w:val="32"/>
          <w:szCs w:val="32"/>
        </w:rPr>
        <w:t>万元；项目支出</w:t>
      </w:r>
      <w:r>
        <w:rPr>
          <w:rFonts w:ascii="Times New Roman" w:eastAsia="方正仿宋简体" w:hAnsi="Times New Roman" w:cs="Times New Roman" w:hint="eastAsia"/>
          <w:sz w:val="32"/>
          <w:szCs w:val="32"/>
        </w:rPr>
        <w:t>12158.2</w:t>
      </w:r>
      <w:r>
        <w:rPr>
          <w:rFonts w:ascii="Times New Roman" w:eastAsia="方正仿宋简体" w:hAnsi="Times New Roman" w:cs="Times New Roman"/>
          <w:sz w:val="32"/>
          <w:szCs w:val="32"/>
        </w:rPr>
        <w:t>万元，全部为本级支出。</w:t>
      </w:r>
    </w:p>
    <w:p w:rsidR="0023060E" w:rsidRDefault="00895E82">
      <w:pPr>
        <w:ind w:left="640"/>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3.</w:t>
      </w:r>
      <w:r>
        <w:rPr>
          <w:rFonts w:ascii="Times New Roman" w:eastAsia="方正仿宋简体" w:hAnsi="Times New Roman" w:cs="Times New Roman"/>
          <w:b/>
          <w:sz w:val="32"/>
          <w:szCs w:val="32"/>
        </w:rPr>
        <w:t>比上年增减情况</w:t>
      </w:r>
    </w:p>
    <w:p w:rsidR="0023060E" w:rsidRDefault="00895E82">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2019</w:t>
      </w:r>
      <w:r>
        <w:rPr>
          <w:rFonts w:ascii="Times New Roman" w:eastAsia="方正仿宋简体" w:hAnsi="Times New Roman" w:cs="Times New Roman"/>
          <w:sz w:val="32"/>
          <w:szCs w:val="32"/>
        </w:rPr>
        <w:t>年部门预算较</w:t>
      </w:r>
      <w:r>
        <w:rPr>
          <w:rFonts w:ascii="Times New Roman" w:eastAsia="方正仿宋简体" w:hAnsi="Times New Roman" w:cs="Times New Roman" w:hint="eastAsia"/>
          <w:sz w:val="32"/>
          <w:szCs w:val="32"/>
        </w:rPr>
        <w:t>2018</w:t>
      </w:r>
      <w:r>
        <w:rPr>
          <w:rFonts w:ascii="Times New Roman" w:eastAsia="方正仿宋简体" w:hAnsi="Times New Roman" w:cs="Times New Roman"/>
          <w:sz w:val="32"/>
          <w:szCs w:val="32"/>
        </w:rPr>
        <w:t>年</w:t>
      </w:r>
      <w:r>
        <w:rPr>
          <w:rFonts w:ascii="Times New Roman" w:eastAsia="方正仿宋简体" w:hAnsi="Times New Roman" w:cs="Times New Roman" w:hint="eastAsia"/>
          <w:sz w:val="32"/>
          <w:szCs w:val="32"/>
        </w:rPr>
        <w:t>增加</w:t>
      </w:r>
      <w:r>
        <w:rPr>
          <w:rFonts w:ascii="Times New Roman" w:eastAsia="方正仿宋简体" w:hAnsi="Times New Roman" w:cs="Times New Roman" w:hint="eastAsia"/>
          <w:sz w:val="32"/>
          <w:szCs w:val="32"/>
        </w:rPr>
        <w:t>695.74</w:t>
      </w:r>
      <w:r>
        <w:rPr>
          <w:rFonts w:ascii="Times New Roman" w:eastAsia="方正仿宋简体" w:hAnsi="Times New Roman" w:cs="Times New Roman"/>
          <w:sz w:val="32"/>
          <w:szCs w:val="32"/>
        </w:rPr>
        <w:t>万元，其中：基本支出</w:t>
      </w:r>
      <w:r>
        <w:rPr>
          <w:rFonts w:ascii="Times New Roman" w:eastAsia="方正仿宋简体" w:hAnsi="Times New Roman" w:cs="Times New Roman" w:hint="eastAsia"/>
          <w:sz w:val="32"/>
          <w:szCs w:val="32"/>
        </w:rPr>
        <w:t>增加</w:t>
      </w:r>
      <w:r>
        <w:rPr>
          <w:rFonts w:ascii="Times New Roman" w:eastAsia="方正仿宋简体" w:hAnsi="Times New Roman" w:cs="Times New Roman" w:hint="eastAsia"/>
          <w:sz w:val="32"/>
          <w:szCs w:val="32"/>
        </w:rPr>
        <w:t>98.94</w:t>
      </w:r>
      <w:r>
        <w:rPr>
          <w:rFonts w:ascii="Times New Roman" w:eastAsia="方正仿宋简体" w:hAnsi="Times New Roman" w:cs="Times New Roman"/>
          <w:sz w:val="32"/>
          <w:szCs w:val="32"/>
        </w:rPr>
        <w:t>万元，</w:t>
      </w:r>
      <w:r>
        <w:rPr>
          <w:rFonts w:ascii="Times New Roman" w:eastAsia="方正仿宋简体" w:hAnsi="Times New Roman" w:cs="Times New Roman" w:hint="eastAsia"/>
          <w:sz w:val="32"/>
          <w:szCs w:val="32"/>
        </w:rPr>
        <w:t>其中</w:t>
      </w:r>
      <w:r>
        <w:rPr>
          <w:rFonts w:ascii="Times New Roman" w:eastAsia="方正仿宋简体" w:hAnsi="Times New Roman" w:cs="Times New Roman"/>
          <w:sz w:val="32"/>
          <w:szCs w:val="32"/>
        </w:rPr>
        <w:t>人员经费</w:t>
      </w:r>
      <w:r>
        <w:rPr>
          <w:rFonts w:ascii="Times New Roman" w:eastAsia="方正仿宋简体" w:hAnsi="Times New Roman" w:cs="Times New Roman" w:hint="eastAsia"/>
          <w:sz w:val="32"/>
          <w:szCs w:val="32"/>
        </w:rPr>
        <w:t>增加</w:t>
      </w:r>
      <w:r>
        <w:rPr>
          <w:rFonts w:ascii="Times New Roman" w:eastAsia="方正仿宋简体" w:hAnsi="Times New Roman" w:cs="Times New Roman" w:hint="eastAsia"/>
          <w:sz w:val="32"/>
          <w:szCs w:val="32"/>
        </w:rPr>
        <w:t>34.1</w:t>
      </w:r>
      <w:r>
        <w:rPr>
          <w:rFonts w:ascii="Times New Roman" w:eastAsia="方正仿宋简体" w:hAnsi="Times New Roman" w:cs="Times New Roman" w:hint="eastAsia"/>
          <w:sz w:val="32"/>
          <w:szCs w:val="32"/>
        </w:rPr>
        <w:t>万元，日常公用经费增加</w:t>
      </w:r>
      <w:r>
        <w:rPr>
          <w:rFonts w:ascii="Times New Roman" w:eastAsia="方正仿宋简体" w:hAnsi="Times New Roman" w:cs="Times New Roman" w:hint="eastAsia"/>
          <w:sz w:val="32"/>
          <w:szCs w:val="32"/>
        </w:rPr>
        <w:t>64.84</w:t>
      </w:r>
      <w:r>
        <w:rPr>
          <w:rFonts w:ascii="Times New Roman" w:eastAsia="方正仿宋简体" w:hAnsi="Times New Roman" w:cs="Times New Roman" w:hint="eastAsia"/>
          <w:sz w:val="32"/>
          <w:szCs w:val="32"/>
        </w:rPr>
        <w:t>万元</w:t>
      </w:r>
      <w:r>
        <w:rPr>
          <w:rFonts w:ascii="Times New Roman" w:eastAsia="方正仿宋简体" w:hAnsi="Times New Roman" w:cs="Times New Roman"/>
          <w:sz w:val="32"/>
          <w:szCs w:val="32"/>
        </w:rPr>
        <w:t>；项目支出</w:t>
      </w:r>
      <w:r>
        <w:rPr>
          <w:rFonts w:ascii="Times New Roman" w:eastAsia="方正仿宋简体" w:hAnsi="Times New Roman" w:cs="Times New Roman" w:hint="eastAsia"/>
          <w:sz w:val="32"/>
          <w:szCs w:val="32"/>
        </w:rPr>
        <w:t>增加</w:t>
      </w:r>
      <w:r>
        <w:rPr>
          <w:rFonts w:ascii="Times New Roman" w:eastAsia="方正仿宋简体" w:hAnsi="Times New Roman" w:cs="Times New Roman" w:hint="eastAsia"/>
          <w:sz w:val="32"/>
          <w:szCs w:val="32"/>
        </w:rPr>
        <w:t>596.8</w:t>
      </w:r>
      <w:r>
        <w:rPr>
          <w:rFonts w:ascii="Times New Roman" w:eastAsia="方正仿宋简体" w:hAnsi="Times New Roman" w:cs="Times New Roman"/>
          <w:sz w:val="32"/>
          <w:szCs w:val="32"/>
        </w:rPr>
        <w:t>万元，主要是</w:t>
      </w:r>
      <w:r>
        <w:rPr>
          <w:rFonts w:ascii="Times New Roman" w:eastAsia="方正仿宋简体" w:hAnsi="Times New Roman" w:cs="Times New Roman" w:hint="eastAsia"/>
          <w:sz w:val="32"/>
          <w:szCs w:val="32"/>
        </w:rPr>
        <w:t>增加</w:t>
      </w:r>
      <w:r>
        <w:rPr>
          <w:rFonts w:ascii="Times New Roman" w:eastAsia="方正仿宋简体" w:hAnsi="Times New Roman" w:cs="Times New Roman"/>
          <w:sz w:val="32"/>
          <w:szCs w:val="32"/>
        </w:rPr>
        <w:t>项目支出。</w:t>
      </w:r>
    </w:p>
    <w:p w:rsidR="0023060E" w:rsidRDefault="00895E82">
      <w:pPr>
        <w:ind w:firstLine="640"/>
        <w:rPr>
          <w:rFonts w:ascii="Times New Roman" w:eastAsia="黑体" w:hAnsi="Times New Roman" w:cs="Times New Roman"/>
          <w:sz w:val="32"/>
          <w:szCs w:val="32"/>
        </w:rPr>
      </w:pPr>
      <w:r>
        <w:rPr>
          <w:rFonts w:ascii="Times New Roman" w:eastAsia="黑体" w:hAnsi="Times New Roman" w:cs="Times New Roman"/>
          <w:sz w:val="32"/>
          <w:szCs w:val="32"/>
        </w:rPr>
        <w:t>三、机关运行经费安排情况</w:t>
      </w:r>
    </w:p>
    <w:p w:rsidR="0023060E" w:rsidRDefault="00895E82">
      <w:pPr>
        <w:ind w:firstLine="640"/>
        <w:rPr>
          <w:rFonts w:ascii="Times New Roman" w:eastAsia="黑体" w:hAnsi="Times New Roman" w:cs="Times New Roman"/>
          <w:sz w:val="32"/>
          <w:szCs w:val="32"/>
        </w:rPr>
      </w:pPr>
      <w:r>
        <w:rPr>
          <w:rFonts w:ascii="Times New Roman" w:eastAsia="方正仿宋简体" w:hAnsi="Times New Roman" w:cs="Times New Roman"/>
          <w:sz w:val="32"/>
          <w:szCs w:val="32"/>
        </w:rPr>
        <w:t>机关运行经费共计安排</w:t>
      </w:r>
      <w:r>
        <w:rPr>
          <w:rFonts w:ascii="Times New Roman" w:eastAsia="方正仿宋简体" w:hAnsi="Times New Roman" w:cs="Times New Roman"/>
          <w:sz w:val="32"/>
          <w:szCs w:val="32"/>
        </w:rPr>
        <w:t>16</w:t>
      </w:r>
      <w:r>
        <w:rPr>
          <w:rFonts w:ascii="Times New Roman" w:eastAsia="方正仿宋简体" w:hAnsi="Times New Roman" w:cs="Times New Roman" w:hint="eastAsia"/>
          <w:sz w:val="32"/>
          <w:szCs w:val="32"/>
        </w:rPr>
        <w:t>5.22</w:t>
      </w:r>
      <w:r>
        <w:rPr>
          <w:rFonts w:ascii="Times New Roman" w:eastAsia="方正仿宋简体" w:hAnsi="Times New Roman" w:cs="Times New Roman"/>
          <w:sz w:val="32"/>
          <w:szCs w:val="32"/>
        </w:rPr>
        <w:t>万元，主要用于保证机关正常运转的办公及印刷费、邮电费、差旅费、会议费、</w:t>
      </w:r>
      <w:r>
        <w:rPr>
          <w:rFonts w:eastAsia="方正仿宋简体"/>
          <w:kern w:val="0"/>
          <w:sz w:val="32"/>
          <w:szCs w:val="32"/>
        </w:rPr>
        <w:t>福利费、日常维修费、专用材料及一般设备购置费、办公用房水电费、办公用房取暖费、办公用房物业管理费、公务用车运行维护费及其他费用</w:t>
      </w:r>
      <w:r>
        <w:rPr>
          <w:rFonts w:ascii="Times New Roman" w:eastAsia="方正仿宋简体" w:hAnsi="Times New Roman" w:cs="Times New Roman"/>
          <w:sz w:val="32"/>
          <w:szCs w:val="32"/>
        </w:rPr>
        <w:t>等支出。</w:t>
      </w:r>
    </w:p>
    <w:p w:rsidR="0023060E" w:rsidRDefault="00895E82">
      <w:pPr>
        <w:ind w:firstLine="640"/>
        <w:rPr>
          <w:rFonts w:ascii="Times New Roman" w:eastAsia="黑体" w:hAnsi="Times New Roman" w:cs="Times New Roman"/>
          <w:sz w:val="32"/>
          <w:szCs w:val="32"/>
        </w:rPr>
      </w:pPr>
      <w:r>
        <w:rPr>
          <w:rFonts w:ascii="Times New Roman" w:eastAsia="黑体" w:hAnsi="Times New Roman" w:cs="Times New Roman"/>
          <w:sz w:val="32"/>
          <w:szCs w:val="32"/>
        </w:rPr>
        <w:t>四、财政拨款</w:t>
      </w:r>
      <w:r>
        <w:rPr>
          <w:rFonts w:ascii="Times New Roman" w:eastAsia="黑体" w:hAnsi="Times New Roman" w:cs="Times New Roman"/>
          <w:sz w:val="32"/>
          <w:szCs w:val="32"/>
        </w:rPr>
        <w:t>“</w:t>
      </w:r>
      <w:r>
        <w:rPr>
          <w:rFonts w:ascii="Times New Roman" w:eastAsia="黑体" w:hAnsi="Times New Roman" w:cs="Times New Roman"/>
          <w:sz w:val="32"/>
          <w:szCs w:val="32"/>
        </w:rPr>
        <w:t>三公</w:t>
      </w:r>
      <w:r>
        <w:rPr>
          <w:rFonts w:ascii="Times New Roman" w:eastAsia="黑体" w:hAnsi="Times New Roman" w:cs="Times New Roman"/>
          <w:sz w:val="32"/>
          <w:szCs w:val="32"/>
        </w:rPr>
        <w:t>”</w:t>
      </w:r>
      <w:r>
        <w:rPr>
          <w:rFonts w:ascii="Times New Roman" w:eastAsia="黑体" w:hAnsi="Times New Roman" w:cs="Times New Roman"/>
          <w:sz w:val="32"/>
          <w:szCs w:val="32"/>
        </w:rPr>
        <w:t>经费预算情况及增减变化原因</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2019</w:t>
      </w:r>
      <w:r>
        <w:rPr>
          <w:rFonts w:ascii="Times New Roman" w:eastAsia="方正仿宋简体" w:hAnsi="Times New Roman" w:cs="Times New Roman"/>
          <w:sz w:val="32"/>
          <w:szCs w:val="32"/>
        </w:rPr>
        <w:t>年，财政拨款</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三公</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经费预算安排</w:t>
      </w:r>
      <w:r>
        <w:rPr>
          <w:rFonts w:ascii="Times New Roman" w:eastAsia="方正仿宋简体" w:hAnsi="Times New Roman" w:cs="Times New Roman" w:hint="eastAsia"/>
          <w:sz w:val="32"/>
          <w:szCs w:val="32"/>
        </w:rPr>
        <w:t>22.95</w:t>
      </w:r>
      <w:r>
        <w:rPr>
          <w:rFonts w:ascii="Times New Roman" w:eastAsia="方正仿宋简体" w:hAnsi="Times New Roman" w:cs="Times New Roman"/>
          <w:sz w:val="32"/>
          <w:szCs w:val="32"/>
        </w:rPr>
        <w:t>万元，其中：因公出国（境）费</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万元；公务用车购置及运维费</w:t>
      </w:r>
      <w:r>
        <w:rPr>
          <w:rFonts w:ascii="Times New Roman" w:eastAsia="方正仿宋简体" w:hAnsi="Times New Roman" w:cs="Times New Roman" w:hint="eastAsia"/>
          <w:sz w:val="32"/>
          <w:szCs w:val="32"/>
        </w:rPr>
        <w:t>21.7</w:t>
      </w:r>
      <w:r>
        <w:rPr>
          <w:rFonts w:ascii="Times New Roman" w:eastAsia="方正仿宋简体" w:hAnsi="Times New Roman" w:cs="Times New Roman"/>
          <w:sz w:val="32"/>
          <w:szCs w:val="32"/>
        </w:rPr>
        <w:t>万元（其中：公务用车运行费</w:t>
      </w:r>
      <w:r>
        <w:rPr>
          <w:rFonts w:ascii="Times New Roman" w:eastAsia="方正仿宋简体" w:hAnsi="Times New Roman" w:cs="Times New Roman" w:hint="eastAsia"/>
          <w:sz w:val="32"/>
          <w:szCs w:val="32"/>
        </w:rPr>
        <w:t>21.7</w:t>
      </w:r>
      <w:r>
        <w:rPr>
          <w:rFonts w:ascii="Times New Roman" w:eastAsia="方正仿宋简体" w:hAnsi="Times New Roman" w:cs="Times New Roman"/>
          <w:sz w:val="32"/>
          <w:szCs w:val="32"/>
        </w:rPr>
        <w:t>万元</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；公务接待费</w:t>
      </w:r>
      <w:r>
        <w:rPr>
          <w:rFonts w:ascii="Times New Roman" w:eastAsia="方正仿宋简体" w:hAnsi="Times New Roman" w:cs="Times New Roman" w:hint="eastAsia"/>
          <w:sz w:val="32"/>
          <w:szCs w:val="32"/>
        </w:rPr>
        <w:t>1.25</w:t>
      </w:r>
      <w:r>
        <w:rPr>
          <w:rFonts w:ascii="Times New Roman" w:eastAsia="方正仿宋简体" w:hAnsi="Times New Roman" w:cs="Times New Roman"/>
          <w:sz w:val="32"/>
          <w:szCs w:val="32"/>
        </w:rPr>
        <w:t>万元。</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三公</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经费较上年下降</w:t>
      </w:r>
      <w:r>
        <w:rPr>
          <w:rFonts w:ascii="Times New Roman" w:eastAsia="方正仿宋简体" w:hAnsi="Times New Roman" w:cs="Times New Roman" w:hint="eastAsia"/>
          <w:sz w:val="32"/>
          <w:szCs w:val="32"/>
        </w:rPr>
        <w:t>5.20</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，主要原因是今年对</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三公</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经费等一般性支出进行了压减。</w:t>
      </w:r>
    </w:p>
    <w:p w:rsidR="0023060E" w:rsidRDefault="00895E82">
      <w:pPr>
        <w:numPr>
          <w:ilvl w:val="0"/>
          <w:numId w:val="1"/>
        </w:num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绩效预算信息</w:t>
      </w:r>
    </w:p>
    <w:p w:rsidR="0023060E" w:rsidRDefault="00895E82">
      <w:pPr>
        <w:ind w:firstLineChars="200" w:firstLine="562"/>
        <w:rPr>
          <w:rFonts w:ascii="方正楷体_GBK" w:eastAsia="方正楷体_GBK"/>
          <w:b/>
          <w:sz w:val="28"/>
        </w:rPr>
      </w:pPr>
      <w:r>
        <w:rPr>
          <w:rFonts w:ascii="方正楷体_GBK" w:eastAsia="方正楷体_GBK" w:hint="eastAsia"/>
          <w:b/>
          <w:sz w:val="28"/>
        </w:rPr>
        <w:t>总体目标：</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lastRenderedPageBreak/>
        <w:t>发展规划目标</w:t>
      </w:r>
      <w:r>
        <w:rPr>
          <w:rFonts w:ascii="Times New Roman" w:eastAsia="方正仿宋简体" w:hAnsi="Times New Roman" w:cs="Times New Roman" w:hint="eastAsia"/>
          <w:sz w:val="32"/>
          <w:szCs w:val="32"/>
        </w:rPr>
        <w:t>:</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（一）项目建设工作：提升服务能力，引领民生发展</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一是打造高标准教育项目，加快南戴河实验学校合并迁建工程、团林实验学校附属工程项目前期手续办理，争取尽快开工建设；积极与新区产业新城办共同协调华夏幸福公司推进北戴河新区第一中学项目实施和教育品牌引入工作。二是继续实施民生水利项目，争取减河、沿沟、老饮马河治理工程开工建设，长沟、官道沟治理工程全部完工，深入推进河道治理，采取清淤清污、环保处理与生态治理相结合的方式，确保入河河道水质逐步提高、稳定达标。三是做大做强农业项目，在中保绿都心乐园项目一期建设的基础上，继续二期田园综合体建设，种植果树林、建设金木水火土五行体验馆</w:t>
      </w:r>
      <w:r>
        <w:rPr>
          <w:rFonts w:ascii="Times New Roman" w:eastAsia="方正仿宋简体" w:hAnsi="Times New Roman" w:cs="Times New Roman" w:hint="eastAsia"/>
          <w:sz w:val="32"/>
          <w:szCs w:val="32"/>
        </w:rPr>
        <w:t>20000</w:t>
      </w:r>
      <w:r>
        <w:rPr>
          <w:rFonts w:ascii="Times New Roman" w:eastAsia="方正仿宋简体" w:hAnsi="Times New Roman" w:cs="Times New Roman" w:hint="eastAsia"/>
          <w:sz w:val="32"/>
          <w:szCs w:val="32"/>
        </w:rPr>
        <w:t>平方米、北游客中心</w:t>
      </w:r>
      <w:r>
        <w:rPr>
          <w:rFonts w:ascii="Times New Roman" w:eastAsia="方正仿宋简体" w:hAnsi="Times New Roman" w:cs="Times New Roman" w:hint="eastAsia"/>
          <w:sz w:val="32"/>
          <w:szCs w:val="32"/>
        </w:rPr>
        <w:t>2000</w:t>
      </w:r>
      <w:r>
        <w:rPr>
          <w:rFonts w:ascii="Times New Roman" w:eastAsia="方正仿宋简体" w:hAnsi="Times New Roman" w:cs="Times New Roman" w:hint="eastAsia"/>
          <w:sz w:val="32"/>
          <w:szCs w:val="32"/>
        </w:rPr>
        <w:t>平方米、休闲农业设施、中医药基地，确保中保绿都项目运营良好。四是做好做优基层医疗保障项目，有力推进大蒲河卫生院、西河南卫生院、广济医院项目建设，争取投入正常使用。五是推进示范区项目建设，打造水产养殖加工产业园区，争取项目切实落地；完成民政事业服务中心改建工程，提高养老保障服务能力。</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（二）教育工作：争创一流品牌，实现跨越提升</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加强教育品牌建设，拟评选出</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所区级素质教育示范校、</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所区级教育管理示范校，争取打造</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所特色学校、</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所市级一类幼儿园、</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所区级模范幼儿园、</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所校园环境建设标准学校、</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所社团示范学校；搞好校长和教师两支队伍建设，计划招聘</w:t>
      </w:r>
      <w:r>
        <w:rPr>
          <w:rFonts w:ascii="Times New Roman" w:eastAsia="方正仿宋简体" w:hAnsi="Times New Roman" w:cs="Times New Roman" w:hint="eastAsia"/>
          <w:sz w:val="32"/>
          <w:szCs w:val="32"/>
        </w:rPr>
        <w:t>60</w:t>
      </w:r>
      <w:r>
        <w:rPr>
          <w:rFonts w:ascii="Times New Roman" w:eastAsia="方正仿宋简体" w:hAnsi="Times New Roman" w:cs="Times New Roman" w:hint="eastAsia"/>
          <w:sz w:val="32"/>
          <w:szCs w:val="32"/>
        </w:rPr>
        <w:t>名教师，开展全员培训、业务专项培训、外出挂职交流培训；加强“以生为本，以学为主”课堂教学模式的探索与研究，发挥课改实验校样板学科、样板班级引领示范作用；丰富校园艺术活动，推进学校社团建设，做实做好篆刻艺术、戏曲文化艺术进</w:t>
      </w:r>
      <w:r>
        <w:rPr>
          <w:rFonts w:ascii="Times New Roman" w:eastAsia="方正仿宋简体" w:hAnsi="Times New Roman" w:cs="Times New Roman" w:hint="eastAsia"/>
          <w:sz w:val="32"/>
          <w:szCs w:val="32"/>
        </w:rPr>
        <w:lastRenderedPageBreak/>
        <w:t>校园工作；进一步深入与北京海淀区合作，继续选派优秀后备干部、校长、主任、教研员到北京名校挂职锻炼，充分发挥北京海淀区教育党校北戴河新区分校的作用，邀请专家指导我区中小学教育工作；强化安全教育培训和宣教工作，加强校园内部及周边环境整治，确保零事故目标顺利实现。</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（三）卫生计生工作：注重统筹兼顾，持续深化改革</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持续深化医药卫生体制改革，继续深入开展医联体建设工作和家庭医生签约服务工作，村卫生室全面实施国家基本药物制度；组织开展中医适宜技术、乡村医生及卫生院卫生技术人员培训，规范各医疗机构诊疗活动；争取西河南卫生院国医堂建设项目；全面开展创建幸福家庭活动、“新家庭计划—家庭发展能力建设”项目，继续落实好计划生育家庭奖励和扶助政策；进一步完善居民电子健康档案、电子病历数据库，加快推进医疗机构信息化建设。</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（四）农业农经工作：推动乡村振兴，促进产业化发展</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重点扶持冀弘水产养殖观光、中保绿都、秦皇岛禾木、七里渔田等有一定规模和发展潜力及带动性较强的休闲农业观光园区，加强休闲农业的引导与示范作用；加强重大动物疫病防控工作，继续强化对高致病性禽流感、口蹄疫、猪瘟、高致病性猪蓝耳病等四种动物疫病实施强制免疫，确保免疫密度常年保持在</w:t>
      </w:r>
      <w:r>
        <w:rPr>
          <w:rFonts w:ascii="Times New Roman" w:eastAsia="方正仿宋简体" w:hAnsi="Times New Roman" w:cs="Times New Roman" w:hint="eastAsia"/>
          <w:sz w:val="32"/>
          <w:szCs w:val="32"/>
        </w:rPr>
        <w:t>100%</w:t>
      </w:r>
      <w:r>
        <w:rPr>
          <w:rFonts w:ascii="Times New Roman" w:eastAsia="方正仿宋简体" w:hAnsi="Times New Roman" w:cs="Times New Roman" w:hint="eastAsia"/>
          <w:sz w:val="32"/>
          <w:szCs w:val="32"/>
        </w:rPr>
        <w:t>；加强农产品质量安全监管，打击违规销售农药、兽药、种子、化肥、薄膜等行为，进一步扩大农产品质量安全追溯体系，增加试点单位数量；认真落实“三项”补贴等支农惠农政策；深入开展农村集体资产清产核资工作，对农村集体资产清产核资盘盈盘亏资产进行账务调整，</w:t>
      </w: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月底前完成各村清产核资数据整理上报工作；加大土地流转力度，规范土地流转行为，积极招商引资引进农业经营企业进行土地流转；加快培育规范新型经营主体，加强新型经营主体农民合作社示范社及家</w:t>
      </w:r>
      <w:r>
        <w:rPr>
          <w:rFonts w:ascii="Times New Roman" w:eastAsia="方正仿宋简体" w:hAnsi="Times New Roman" w:cs="Times New Roman" w:hint="eastAsia"/>
          <w:sz w:val="32"/>
          <w:szCs w:val="32"/>
        </w:rPr>
        <w:lastRenderedPageBreak/>
        <w:t>庭农场示范场监测工作，引导农民专业合作社开展土地、资产、资金入股等多种形式的股份合作经营。</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（五）水务工作：放活资源优势，推进综合治水</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积极申报</w:t>
      </w:r>
      <w:r>
        <w:rPr>
          <w:rFonts w:ascii="Times New Roman" w:eastAsia="方正仿宋简体" w:hAnsi="Times New Roman" w:cs="Times New Roman" w:hint="eastAsia"/>
          <w:sz w:val="32"/>
          <w:szCs w:val="32"/>
        </w:rPr>
        <w:t>2019</w:t>
      </w:r>
      <w:r>
        <w:rPr>
          <w:rFonts w:ascii="Times New Roman" w:eastAsia="方正仿宋简体" w:hAnsi="Times New Roman" w:cs="Times New Roman" w:hint="eastAsia"/>
          <w:sz w:val="32"/>
          <w:szCs w:val="32"/>
        </w:rPr>
        <w:t>年度地下水超采综合治理地表水灌溉项目和新区农村饮水置换工程项目，争取土地出让收益计提农田水利建设资金项目，为农业生产、农民增收提供保障，确保群众喝上放心水；积极开展水权水价改革工作，确保已建农村饮水安全、节水灌溉等公益性水利工程有人管、管得好，长久发挥效益；时刻做好“防大汛、抗大灾、抢大险”的思想准备，落实常备不懈、以防为主的工作方针，确保全年防汛工作万无一失；认真落实移民后期扶持政策，及时足额发放</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hint="eastAsia"/>
          <w:sz w:val="32"/>
          <w:szCs w:val="32"/>
        </w:rPr>
        <w:t>“直补”资金和分散安置移民户生产开发项目扶持资金，主动帮助解决移民生产生活困难问题，鼓励引导移民自主创业；进一步完善水资源费改税工作，将新用水户及时纳入系统，力争录入率、办证率达到</w:t>
      </w:r>
      <w:r>
        <w:rPr>
          <w:rFonts w:ascii="Times New Roman" w:eastAsia="方正仿宋简体" w:hAnsi="Times New Roman" w:cs="Times New Roman" w:hint="eastAsia"/>
          <w:sz w:val="32"/>
          <w:szCs w:val="32"/>
        </w:rPr>
        <w:t>100%</w:t>
      </w:r>
      <w:r>
        <w:rPr>
          <w:rFonts w:ascii="Times New Roman" w:eastAsia="方正仿宋简体" w:hAnsi="Times New Roman" w:cs="Times New Roman" w:hint="eastAsia"/>
          <w:sz w:val="32"/>
          <w:szCs w:val="32"/>
        </w:rPr>
        <w:t>；加大执法力度，全部关停城区管网覆盖区和禁采区内的自备井。</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（六）民政工作：惠民生保稳定，增强发展后劲</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扎实开展军队退役人员服务工作，积极配合各街道办做好涉军群众利益诉求收集和帮扶解困工作；尽快完成村委会换届选举工作；进一步规范社会保障与救助工作，完善长效机制，严格落实制度，确保各项保障金与生活补贴按时发放；推动农村社区建设，对符合条件的村通过争取上级资金帮扶，完成村委会到居委会的转变；继续抓好民政事业服务中心的日常管理和安全生产工作，推进民政事业服务中心改扩建项目；做好“八一”、春节等节假日慰问工作；提高救灾快速反应能力，重点抓好应急预案的落实，确保灾害发生后</w:t>
      </w:r>
      <w:r>
        <w:rPr>
          <w:rFonts w:ascii="Times New Roman" w:eastAsia="方正仿宋简体" w:hAnsi="Times New Roman" w:cs="Times New Roman" w:hint="eastAsia"/>
          <w:sz w:val="32"/>
          <w:szCs w:val="32"/>
        </w:rPr>
        <w:t>12</w:t>
      </w:r>
      <w:r>
        <w:rPr>
          <w:rFonts w:ascii="Times New Roman" w:eastAsia="方正仿宋简体" w:hAnsi="Times New Roman" w:cs="Times New Roman" w:hint="eastAsia"/>
          <w:sz w:val="32"/>
          <w:szCs w:val="32"/>
        </w:rPr>
        <w:t>小时内受灾群众得到有效救助，救灾款物及时发放到位。</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（七）美丽乡村建设工作：立足民生实事，建设大美新区</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lastRenderedPageBreak/>
        <w:t>按照《北戴河新区人居环境整治三年行动计划》要求，完成</w:t>
      </w:r>
      <w:r>
        <w:rPr>
          <w:rFonts w:ascii="Times New Roman" w:eastAsia="方正仿宋简体" w:hAnsi="Times New Roman" w:cs="Times New Roman" w:hint="eastAsia"/>
          <w:sz w:val="32"/>
          <w:szCs w:val="32"/>
        </w:rPr>
        <w:t>14</w:t>
      </w:r>
      <w:r>
        <w:rPr>
          <w:rFonts w:ascii="Times New Roman" w:eastAsia="方正仿宋简体" w:hAnsi="Times New Roman" w:cs="Times New Roman" w:hint="eastAsia"/>
          <w:sz w:val="32"/>
          <w:szCs w:val="32"/>
        </w:rPr>
        <w:t>个保留村农村人居生活环境整治进一步提升工作，在西河南、宗杨村、朝鲜族等</w:t>
      </w:r>
      <w:r>
        <w:rPr>
          <w:rFonts w:ascii="Times New Roman" w:eastAsia="方正仿宋简体" w:hAnsi="Times New Roman" w:cs="Times New Roman" w:hint="eastAsia"/>
          <w:sz w:val="32"/>
          <w:szCs w:val="32"/>
        </w:rPr>
        <w:t>7</w:t>
      </w:r>
      <w:r>
        <w:rPr>
          <w:rFonts w:ascii="Times New Roman" w:eastAsia="方正仿宋简体" w:hAnsi="Times New Roman" w:cs="Times New Roman" w:hint="eastAsia"/>
          <w:sz w:val="32"/>
          <w:szCs w:val="32"/>
        </w:rPr>
        <w:t>个新调出的保留村开展污水处理、厕所改造、垃圾处理、村容村貌提升四项工程；积极推进西陆庄、小韩庄样板村建设。</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hint="eastAsia"/>
          <w:sz w:val="32"/>
          <w:szCs w:val="32"/>
        </w:rPr>
        <w:t>职责分类绩效目标</w:t>
      </w:r>
      <w:r>
        <w:rPr>
          <w:rFonts w:ascii="Times New Roman" w:eastAsia="方正仿宋简体" w:hAnsi="Times New Roman" w:cs="Times New Roman" w:hint="eastAsia"/>
          <w:sz w:val="32"/>
          <w:szCs w:val="32"/>
        </w:rPr>
        <w:t>:</w:t>
      </w:r>
      <w:bookmarkStart w:id="0" w:name="_GoBack"/>
      <w:bookmarkEnd w:id="0"/>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（一）负责社会事业发展总体规划的编制并组织实施。</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（二）负责三农政策研究、农业结构调整、农业生产服务、动植物疫情防控、农技指导推广、农业园区建设、农业执法等工作，落实农村工作委员会日常工作。</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（三）负责农村综合改革、农村财务资产管理、三资平台建设、农村土地管理工作。</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（四）负责街道社区、基层政权、低保五保、救灾救济、武装兵役、残联、老龄、扶贫、殡葬、婚登、地名事务、民政执法等工作。</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（五）负责水资源管理、河道水域整治、水利工程建设、防汛抗旱、人畜饮水、水土保持、移民管理、水务执法等工作。</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（六）负责疾病防控、医药卫生体制改革、卫生服务保健、人口和计划生育管理、卫生监督执法等工作。</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（七）负责教育布局调整、学校日常管理、教育教学研究、教学督导、教师培训、升学入学管理、教育执法等工作，负责新区教育园区规划、开发、建设、管理的协调、指导、服务、监督工作。</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（八）负责承办新区党工委、管委会交办的其他事项。</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二、实现年度发展规划目标的保障措施</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lastRenderedPageBreak/>
        <w:t>保障措施</w:t>
      </w:r>
      <w:r>
        <w:rPr>
          <w:rFonts w:ascii="Times New Roman" w:eastAsia="方正仿宋简体" w:hAnsi="Times New Roman" w:cs="Times New Roman" w:hint="eastAsia"/>
          <w:sz w:val="32"/>
          <w:szCs w:val="32"/>
        </w:rPr>
        <w:t>:</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一</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结合新区“双创双服”活动，多办“民生微实事”，扎实推进基层医疗保障、教育基础设施建设、河道整治工程、美丽乡村建设等民心工程，重点解决事关人民群众切身利益的教育、就医、供暖、养老等公共服务方面的实际问题，努力增加老百姓看得见、得实惠、见效快的民生有效供给。成立专门的项目建设服务班子，专门负责相关手续跑办，积极谋划包装社会事业项目、争取上级资金支持，不断加大民生投入。</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二</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不断加强队伍建设，优化人员配置，培养业务骨干，转变工作作风，提升学习自觉性和工作能动性，充分发挥党小组作用，深入基层扎实推进各项工作，真正让党小组把社会发展的政策措施传递到基层、落实到一线、惠及到百姓。</w:t>
      </w:r>
    </w:p>
    <w:p w:rsidR="0023060E" w:rsidRDefault="00895E82">
      <w:pPr>
        <w:snapToGrid w:val="0"/>
        <w:spacing w:line="520" w:lineRule="exact"/>
        <w:ind w:firstLineChars="200" w:firstLine="640"/>
        <w:rPr>
          <w:rFonts w:ascii="Times New Roman" w:eastAsia="方正仿宋简体" w:hAnsi="Times New Roman" w:cs="Times New Roman"/>
          <w:sz w:val="32"/>
          <w:szCs w:val="32"/>
        </w:rPr>
        <w:sectPr w:rsidR="0023060E" w:rsidSect="00BF67C3">
          <w:pgSz w:w="16839" w:h="11907" w:orient="landscape"/>
          <w:pgMar w:top="1020" w:right="1361" w:bottom="1020" w:left="1361" w:header="851" w:footer="992" w:gutter="0"/>
          <w:cols w:space="425"/>
          <w:docGrid w:type="lines" w:linePitch="312"/>
        </w:sect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三</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建立健全岗位责任制、服务承诺制、失职追究制等内部工作制度和工作程序，每项工作、每个项目都要明确分包领导、具体责任人，做到事事有人盯、件件有着落，层层压实责任，加强衔接沟通，强化协调配合，形成整体合力。</w:t>
      </w:r>
    </w:p>
    <w:p w:rsidR="0023060E" w:rsidRDefault="0023060E">
      <w:pPr>
        <w:snapToGrid w:val="0"/>
        <w:spacing w:line="520" w:lineRule="exact"/>
        <w:ind w:firstLineChars="200" w:firstLine="640"/>
        <w:rPr>
          <w:rFonts w:ascii="Times New Roman" w:eastAsia="方正仿宋简体" w:hAnsi="Times New Roman" w:cs="Times New Roman"/>
          <w:sz w:val="32"/>
          <w:szCs w:val="32"/>
        </w:rPr>
      </w:pPr>
    </w:p>
    <w:p w:rsidR="0023060E" w:rsidRDefault="0023060E">
      <w:pPr>
        <w:snapToGrid w:val="0"/>
        <w:spacing w:line="520" w:lineRule="exact"/>
        <w:ind w:firstLineChars="200" w:firstLine="640"/>
        <w:rPr>
          <w:rFonts w:ascii="Times New Roman" w:eastAsia="方正仿宋简体" w:hAnsi="Times New Roman" w:cs="Times New Roman"/>
          <w:sz w:val="32"/>
          <w:szCs w:val="32"/>
        </w:rPr>
        <w:sectPr w:rsidR="0023060E">
          <w:type w:val="continuous"/>
          <w:pgSz w:w="16839" w:h="11907" w:orient="landscape"/>
          <w:pgMar w:top="1020" w:right="1361" w:bottom="1020" w:left="1361" w:header="851" w:footer="992" w:gutter="0"/>
          <w:cols w:space="425"/>
          <w:docGrid w:type="lines" w:linePitch="312"/>
        </w:sectPr>
      </w:pPr>
      <w:bookmarkStart w:id="1" w:name="_Toc534645096"/>
    </w:p>
    <w:p w:rsidR="0023060E" w:rsidRDefault="00895E82">
      <w:pPr>
        <w:jc w:val="center"/>
        <w:outlineLvl w:val="0"/>
        <w:rPr>
          <w:rFonts w:ascii="方正小标宋_GBK" w:eastAsia="方正小标宋_GBK"/>
          <w:sz w:val="32"/>
        </w:rPr>
      </w:pPr>
      <w:r>
        <w:rPr>
          <w:rFonts w:ascii="方正小标宋_GBK" w:eastAsia="方正小标宋_GBK" w:hint="eastAsia"/>
          <w:sz w:val="32"/>
        </w:rPr>
        <w:lastRenderedPageBreak/>
        <w:t>部门职责-工作活动绩效目标</w:t>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23060E">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noWrap/>
            <w:vAlign w:val="center"/>
          </w:tcPr>
          <w:p w:rsidR="0023060E" w:rsidRDefault="00895E82">
            <w:pPr>
              <w:spacing w:line="300" w:lineRule="exact"/>
              <w:jc w:val="left"/>
              <w:rPr>
                <w:rFonts w:ascii="方正小标宋_GBK" w:eastAsia="方正小标宋_GBK"/>
                <w:sz w:val="24"/>
              </w:rPr>
            </w:pPr>
            <w:r>
              <w:rPr>
                <w:rFonts w:ascii="方正小标宋_GBK" w:eastAsia="方正小标宋_GBK"/>
                <w:sz w:val="24"/>
              </w:rPr>
              <w:t>314</w:t>
            </w:r>
            <w:r>
              <w:rPr>
                <w:rFonts w:ascii="方正小标宋_GBK" w:eastAsia="方正小标宋_GBK" w:hint="eastAsia"/>
                <w:sz w:val="24"/>
              </w:rPr>
              <w:t>秦皇岛北戴河新区社会发展局</w:t>
            </w:r>
          </w:p>
        </w:tc>
        <w:tc>
          <w:tcPr>
            <w:tcW w:w="2948" w:type="dxa"/>
            <w:gridSpan w:val="4"/>
            <w:tcBorders>
              <w:top w:val="single" w:sz="6" w:space="0" w:color="FFFFFF"/>
              <w:left w:val="single" w:sz="6" w:space="0" w:color="FFFFFF"/>
              <w:right w:val="single" w:sz="6" w:space="0" w:color="FFFFFF"/>
            </w:tcBorders>
            <w:shd w:val="clear" w:color="auto" w:fill="auto"/>
            <w:noWrap/>
            <w:vAlign w:val="center"/>
          </w:tcPr>
          <w:p w:rsidR="0023060E" w:rsidRDefault="00895E82">
            <w:pPr>
              <w:spacing w:line="300" w:lineRule="exact"/>
              <w:jc w:val="right"/>
              <w:rPr>
                <w:rFonts w:ascii="方正书宋_GBK" w:eastAsia="方正书宋_GBK"/>
                <w:sz w:val="24"/>
              </w:rPr>
            </w:pPr>
            <w:r>
              <w:rPr>
                <w:rFonts w:ascii="方正书宋_GBK" w:eastAsia="方正书宋_GBK" w:hint="eastAsia"/>
                <w:sz w:val="24"/>
              </w:rPr>
              <w:t>单位：万元</w:t>
            </w:r>
          </w:p>
        </w:tc>
      </w:tr>
      <w:tr w:rsidR="0023060E">
        <w:trPr>
          <w:trHeight w:val="227"/>
          <w:tblHeader/>
          <w:jc w:val="center"/>
        </w:trPr>
        <w:tc>
          <w:tcPr>
            <w:tcW w:w="2341" w:type="dxa"/>
            <w:vMerge w:val="restart"/>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评价标准</w:t>
            </w:r>
          </w:p>
        </w:tc>
      </w:tr>
      <w:tr w:rsidR="0023060E">
        <w:trPr>
          <w:trHeight w:val="227"/>
          <w:tblHeader/>
          <w:jc w:val="center"/>
        </w:trPr>
        <w:tc>
          <w:tcPr>
            <w:tcW w:w="2341" w:type="dxa"/>
            <w:vMerge/>
            <w:shd w:val="clear" w:color="auto" w:fill="auto"/>
            <w:noWrap/>
            <w:vAlign w:val="center"/>
          </w:tcPr>
          <w:p w:rsidR="0023060E" w:rsidRDefault="0023060E">
            <w:pPr>
              <w:spacing w:line="300" w:lineRule="exact"/>
              <w:jc w:val="left"/>
              <w:outlineLvl w:val="0"/>
            </w:pPr>
          </w:p>
        </w:tc>
        <w:tc>
          <w:tcPr>
            <w:tcW w:w="1276" w:type="dxa"/>
            <w:vMerge/>
            <w:shd w:val="clear" w:color="auto" w:fill="auto"/>
            <w:noWrap/>
            <w:vAlign w:val="center"/>
          </w:tcPr>
          <w:p w:rsidR="0023060E" w:rsidRDefault="0023060E">
            <w:pPr>
              <w:spacing w:line="300" w:lineRule="exact"/>
              <w:jc w:val="left"/>
              <w:outlineLvl w:val="0"/>
            </w:pPr>
          </w:p>
        </w:tc>
        <w:tc>
          <w:tcPr>
            <w:tcW w:w="2976" w:type="dxa"/>
            <w:vMerge/>
            <w:shd w:val="clear" w:color="auto" w:fill="auto"/>
            <w:noWrap/>
            <w:vAlign w:val="center"/>
          </w:tcPr>
          <w:p w:rsidR="0023060E" w:rsidRDefault="0023060E">
            <w:pPr>
              <w:spacing w:line="300" w:lineRule="exact"/>
              <w:jc w:val="left"/>
              <w:outlineLvl w:val="0"/>
            </w:pPr>
          </w:p>
        </w:tc>
        <w:tc>
          <w:tcPr>
            <w:tcW w:w="2976" w:type="dxa"/>
            <w:vMerge/>
            <w:shd w:val="clear" w:color="auto" w:fill="auto"/>
            <w:noWrap/>
            <w:vAlign w:val="center"/>
          </w:tcPr>
          <w:p w:rsidR="0023060E" w:rsidRDefault="0023060E">
            <w:pPr>
              <w:spacing w:line="300" w:lineRule="exact"/>
              <w:jc w:val="left"/>
              <w:outlineLvl w:val="0"/>
            </w:pPr>
          </w:p>
        </w:tc>
        <w:tc>
          <w:tcPr>
            <w:tcW w:w="1417" w:type="dxa"/>
            <w:vMerge/>
            <w:shd w:val="clear" w:color="auto" w:fill="auto"/>
            <w:noWrap/>
            <w:vAlign w:val="center"/>
          </w:tcPr>
          <w:p w:rsidR="0023060E" w:rsidRDefault="0023060E">
            <w:pPr>
              <w:spacing w:line="300" w:lineRule="exact"/>
              <w:jc w:val="left"/>
              <w:outlineLvl w:val="0"/>
            </w:pPr>
          </w:p>
        </w:tc>
        <w:tc>
          <w:tcPr>
            <w:tcW w:w="737" w:type="dxa"/>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差</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、农宅合作社试点工作</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充分利用农村闲置农宅，发展农宅合作社，带动农村旅游业发展，促进农民增收。</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继续实施试点工程，全年建成</w:t>
            </w:r>
            <w:r>
              <w:rPr>
                <w:rFonts w:ascii="方正书宋_GBK" w:eastAsia="方正书宋_GBK"/>
              </w:rPr>
              <w:t>100</w:t>
            </w:r>
            <w:r>
              <w:rPr>
                <w:rFonts w:ascii="方正书宋_GBK" w:eastAsia="方正书宋_GBK" w:hint="eastAsia"/>
              </w:rPr>
              <w:t>个农宅合作社试点</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农户满意度</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试点村农宅改造任务完</w:t>
            </w:r>
            <w:r>
              <w:rPr>
                <w:rFonts w:ascii="方正书宋_GBK" w:eastAsia="方正书宋_GBK" w:hint="eastAsia"/>
              </w:rPr>
              <w:lastRenderedPageBreak/>
              <w:t>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lastRenderedPageBreak/>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lastRenderedPageBreak/>
              <w:t>一、综合政务管理</w:t>
            </w:r>
          </w:p>
        </w:tc>
        <w:tc>
          <w:tcPr>
            <w:tcW w:w="12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47.00</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社会管理及社会事业发展政策（包括对农政策）研究；组织协调机关政务、文电、会务、保密档案、会议接待、政务公开等机关日常工作；机关经费预算及其执行情况、机关财务、资产管理以及督办工作落实、内部审计等工作；上级各类社会事业专项资金的审核、监督、管理以及转移支付工作。</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依法依规完成工作任务，确保机关业务正常运行，提高业务工作效率。</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、综合事务管理</w:t>
            </w:r>
          </w:p>
        </w:tc>
        <w:tc>
          <w:tcPr>
            <w:tcW w:w="12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47.00</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加强机关事务性管理，开展机关自身能力建设。</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确保机关正常运行，提高业务工作效率。</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综合业务管理工作完成率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综合事务管理工作完成率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对外联络服务满意度</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二、社会救助、灾害救助政策及管理</w:t>
            </w:r>
          </w:p>
        </w:tc>
        <w:tc>
          <w:tcPr>
            <w:tcW w:w="12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478.00</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承担社会救助体系建设，负责城乡居民最低生活保障、特困人员供养、医疗救助、临时救助。组织协调全省防灾减灾救灾工作。组织核查并统一发布灾情。组织指导救灾捐赠工作，负责国内外救灾捐赠款物的接收管理和分配使用。</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完善城乡社会救助制度，实施分类救助，应救尽救</w:t>
            </w:r>
            <w:r>
              <w:rPr>
                <w:rFonts w:ascii="方正书宋_GBK" w:eastAsia="方正书宋_GBK"/>
              </w:rPr>
              <w:t>,</w:t>
            </w:r>
            <w:r>
              <w:rPr>
                <w:rFonts w:ascii="方正书宋_GBK" w:eastAsia="方正书宋_GBK" w:hint="eastAsia"/>
              </w:rPr>
              <w:t>动态管理。建设完善全省自然灾害救助应急体系。实施分类救助，保障受灾群众基本生活。</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、困难群众基本生活保障</w:t>
            </w:r>
          </w:p>
        </w:tc>
        <w:tc>
          <w:tcPr>
            <w:tcW w:w="12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458.00</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负责符合条件的城乡居民最低生活保障、特困人员的集中供</w:t>
            </w:r>
            <w:r>
              <w:rPr>
                <w:rFonts w:ascii="方正书宋_GBK" w:eastAsia="方正书宋_GBK" w:hint="eastAsia"/>
              </w:rPr>
              <w:lastRenderedPageBreak/>
              <w:t>养和分散供养、临时生活救助工作、全省城市低收入家庭收入核定管理工作、指导各地加强特困人员救助供养机构建设、保障孤儿基本生活，指导各地加强流浪乞讨人员救助管理，做好留守老人、妇女、儿童保障工作。保障孤儿基本生活，组织开展全省孤残儿童手术康复，推进儿童福利机构基础设施建设。指导各地加强流浪乞讨人员救助管理，加快流浪乞讨人员、流浪未成年人救助场所的设施建设。开展未成年人社会保护试点工作。</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lastRenderedPageBreak/>
              <w:t>实行低保工作动态管理，做到应保尽保、应退尽退。在低保</w:t>
            </w:r>
            <w:r>
              <w:rPr>
                <w:rFonts w:ascii="方正书宋_GBK" w:eastAsia="方正书宋_GBK" w:hint="eastAsia"/>
              </w:rPr>
              <w:lastRenderedPageBreak/>
              <w:t>线与扶贫线</w:t>
            </w:r>
            <w:r>
              <w:rPr>
                <w:rFonts w:ascii="方正书宋_GBK" w:eastAsia="方正书宋_GBK" w:hint="cs"/>
              </w:rPr>
              <w:t>“</w:t>
            </w:r>
            <w:r>
              <w:rPr>
                <w:rFonts w:ascii="方正书宋_GBK" w:eastAsia="方正书宋_GBK" w:hint="eastAsia"/>
              </w:rPr>
              <w:t>两线合一</w:t>
            </w:r>
            <w:r>
              <w:rPr>
                <w:rFonts w:ascii="方正书宋_GBK" w:eastAsia="方正书宋_GBK" w:hint="cs"/>
              </w:rPr>
              <w:t>”</w:t>
            </w:r>
            <w:r>
              <w:rPr>
                <w:rFonts w:ascii="方正书宋_GBK" w:eastAsia="方正书宋_GBK" w:hint="eastAsia"/>
              </w:rPr>
              <w:t>的基础上，建立低保动态调整机制，特困人员供养标准、集中供养能力逐步提高。缓解意外事件对特殊困难家庭造成的生活困难。准确核查认定低保家庭经济状况。孤儿基本生活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lastRenderedPageBreak/>
              <w:t>孤儿基本生活保障率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特困人员供养率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申请低保人员核实率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乡镇（街道）</w:t>
            </w:r>
            <w:r>
              <w:rPr>
                <w:rFonts w:ascii="方正书宋_GBK" w:eastAsia="方正书宋_GBK"/>
              </w:rPr>
              <w:t>100%</w:t>
            </w:r>
            <w:r>
              <w:rPr>
                <w:rFonts w:ascii="方正书宋_GBK" w:eastAsia="方正书宋_GBK" w:hint="eastAsia"/>
              </w:rPr>
              <w:t>、县级城市≥</w:t>
            </w:r>
            <w:r>
              <w:rPr>
                <w:rFonts w:ascii="方正书宋_GBK" w:eastAsia="方正书宋_GBK"/>
              </w:rPr>
              <w:t>50%</w:t>
            </w:r>
            <w:r>
              <w:rPr>
                <w:rFonts w:ascii="方正书宋_GBK" w:eastAsia="方正书宋_GBK" w:hint="eastAsia"/>
              </w:rPr>
              <w:t>，农村≥</w:t>
            </w:r>
            <w:r>
              <w:rPr>
                <w:rFonts w:ascii="方正书宋_GBK" w:eastAsia="方正书宋_GBK"/>
              </w:rPr>
              <w:t>30%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乡镇（街道）≥</w:t>
            </w:r>
            <w:r>
              <w:rPr>
                <w:rFonts w:ascii="方正书宋_GBK" w:eastAsia="方正书宋_GBK"/>
              </w:rPr>
              <w:t>90%</w:t>
            </w:r>
            <w:r>
              <w:rPr>
                <w:rFonts w:ascii="方正书宋_GBK" w:eastAsia="方正书宋_GBK" w:hint="eastAsia"/>
              </w:rPr>
              <w:t>、县级城市≥</w:t>
            </w:r>
            <w:r>
              <w:rPr>
                <w:rFonts w:ascii="方正书宋_GBK" w:eastAsia="方正书宋_GBK"/>
              </w:rPr>
              <w:t>45%</w:t>
            </w:r>
            <w:r>
              <w:rPr>
                <w:rFonts w:ascii="方正书宋_GBK" w:eastAsia="方正书宋_GBK" w:hint="eastAsia"/>
              </w:rPr>
              <w:t>，农村≥</w:t>
            </w:r>
            <w:r>
              <w:rPr>
                <w:rFonts w:ascii="方正书宋_GBK" w:eastAsia="方正书宋_GBK"/>
              </w:rPr>
              <w:t>25%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乡镇（街道）≥</w:t>
            </w:r>
            <w:r>
              <w:rPr>
                <w:rFonts w:ascii="方正书宋_GBK" w:eastAsia="方正书宋_GBK"/>
              </w:rPr>
              <w:t>80%</w:t>
            </w:r>
            <w:r>
              <w:rPr>
                <w:rFonts w:ascii="方正书宋_GBK" w:eastAsia="方正书宋_GBK" w:hint="eastAsia"/>
              </w:rPr>
              <w:t>、县级城市≥</w:t>
            </w:r>
            <w:r>
              <w:rPr>
                <w:rFonts w:ascii="方正书宋_GBK" w:eastAsia="方正书宋_GBK"/>
              </w:rPr>
              <w:t>40%</w:t>
            </w:r>
            <w:r>
              <w:rPr>
                <w:rFonts w:ascii="方正书宋_GBK" w:eastAsia="方正书宋_GBK" w:hint="eastAsia"/>
              </w:rPr>
              <w:t>，农村≥</w:t>
            </w:r>
            <w:r>
              <w:rPr>
                <w:rFonts w:ascii="方正书宋_GBK" w:eastAsia="方正书宋_GBK"/>
              </w:rPr>
              <w:t>20%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乡镇（街道）≥</w:t>
            </w:r>
            <w:r>
              <w:rPr>
                <w:rFonts w:ascii="方正书宋_GBK" w:eastAsia="方正书宋_GBK"/>
              </w:rPr>
              <w:t>70%</w:t>
            </w:r>
            <w:r>
              <w:rPr>
                <w:rFonts w:ascii="方正书宋_GBK" w:eastAsia="方正书宋_GBK" w:hint="eastAsia"/>
              </w:rPr>
              <w:t>、县级城市≥</w:t>
            </w:r>
            <w:r>
              <w:rPr>
                <w:rFonts w:ascii="方正书宋_GBK" w:eastAsia="方正书宋_GBK"/>
              </w:rPr>
              <w:t>35%</w:t>
            </w:r>
            <w:r>
              <w:rPr>
                <w:rFonts w:ascii="方正书宋_GBK" w:eastAsia="方正书宋_GBK" w:hint="eastAsia"/>
              </w:rPr>
              <w:t>，农村≥</w:t>
            </w:r>
            <w:r>
              <w:rPr>
                <w:rFonts w:ascii="方正书宋_GBK" w:eastAsia="方正书宋_GBK"/>
              </w:rPr>
              <w:t>15%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患病孤残儿童救助率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城乡居民低保保障率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流浪救助设施完好情况</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保障充分</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保障较好</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基本保障</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差</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流浪应救人员的救助率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接受救济对象的满意度</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非常满意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满意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一般</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不满意</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县级儿童福利机构建设按时建成率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、医疗救助</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负责城乡居民、优抚对象医疗救助、重特大疾病救助工作。</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保障困难群众获得医疗救助，降低困难居民医疗负担。优抚</w:t>
            </w:r>
            <w:r>
              <w:rPr>
                <w:rFonts w:ascii="方正书宋_GBK" w:eastAsia="方正书宋_GBK" w:hint="eastAsia"/>
              </w:rPr>
              <w:lastRenderedPageBreak/>
              <w:t>对象的医疗困难得到有效解决。</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lastRenderedPageBreak/>
              <w:t>优抚对象医疗补助到位</w:t>
            </w:r>
            <w:r>
              <w:rPr>
                <w:rFonts w:ascii="方正书宋_GBK" w:eastAsia="方正书宋_GBK" w:hint="eastAsia"/>
              </w:rPr>
              <w:lastRenderedPageBreak/>
              <w:t>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lastRenderedPageBreak/>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报销比例</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参保资助率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、自然灾害救助</w:t>
            </w:r>
          </w:p>
        </w:tc>
        <w:tc>
          <w:tcPr>
            <w:tcW w:w="12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20.00</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织全省防灾减灾及救灾储备体系建设；开展应急避难场所建设；制订完善救灾应急预案，组织开展预案演练活动；承办省级救灾物资储备工作；强化科技支撑，开展灾害信息员体系和救灾装备建设；引导社会力量参与防灾、减灾、救灾工作，积极推进农房保险试点工作。建设省级自然灾害应急救助指挥中心，组织建立省减灾委专家委员会并开展专业活动和服务。强化灾害风险防范，完善信息共享机制，统计、汇总、核查、会商灾情，统一发布灾情；组织协调紧急转移安置灾民；承办中央、省级救灾款物分配和监管，物资调运，组织民房恢复重建及灾民生活救助。组织指导全省救灾捐赠工作；承办国内外对本省救灾捐赠款物接收管理和分配使用</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加强灾害风险管理，提高公民防灾减灾意识和避灾自救能力，提升全省重大自然灾害防御能力；加强救灾应急预案演练，增强预案科学性和实效性；完善省、市、县三级物资储备网络；推进以农房保险为主要险种的救灾保险，搭建社会力量参与防灾、减灾、救灾综合平台，提高抗灾水平。组织开展灾民生活救助和民房恢复重建，保证受灾群众基本生活得到及时救助。保证款物安全及时有效，为重特大自然灾害救助提供有力支持。</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国家级及省级综合减灾示范社区创建完成率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年度避难场所建设数量（个）</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突发灾害报灾时效性和准确性</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12</w:t>
            </w:r>
            <w:r>
              <w:rPr>
                <w:rFonts w:ascii="方正书宋_GBK" w:eastAsia="方正书宋_GBK" w:hint="eastAsia"/>
              </w:rPr>
              <w:t>小时内，准确度≥</w:t>
            </w:r>
            <w:r>
              <w:rPr>
                <w:rFonts w:ascii="方正书宋_GBK" w:eastAsia="方正书宋_GBK"/>
              </w:rPr>
              <w:t>98%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24</w:t>
            </w:r>
            <w:r>
              <w:rPr>
                <w:rFonts w:ascii="方正书宋_GBK" w:eastAsia="方正书宋_GBK" w:hint="eastAsia"/>
              </w:rPr>
              <w:t>小时内，准确度≥</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24</w:t>
            </w:r>
            <w:r>
              <w:rPr>
                <w:rFonts w:ascii="方正书宋_GBK" w:eastAsia="方正书宋_GBK" w:hint="eastAsia"/>
              </w:rPr>
              <w:t>小时内，准确度≥</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超出</w:t>
            </w:r>
            <w:r>
              <w:rPr>
                <w:rFonts w:ascii="方正书宋_GBK" w:eastAsia="方正书宋_GBK"/>
              </w:rPr>
              <w:t>24</w:t>
            </w:r>
            <w:r>
              <w:rPr>
                <w:rFonts w:ascii="方正书宋_GBK" w:eastAsia="方正书宋_GBK" w:hint="eastAsia"/>
              </w:rPr>
              <w:t>小时，准确度＜</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农村住房保险理赔率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物资保障受灾群众需救助人数覆盖率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自然灾害救助应急预案演练次数</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2</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救灾捐赠资金到位率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省级救灾物资运达灾区时间（小时）</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12</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24</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24</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、综合业务管理</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研究全市农业农村工作政策文件，督导落实市委、市政府农业农村重点工作和重大政策，组织开展</w:t>
            </w:r>
            <w:r>
              <w:rPr>
                <w:rFonts w:ascii="方正书宋_GBK" w:eastAsia="方正书宋_GBK" w:hint="cs"/>
              </w:rPr>
              <w:t>“</w:t>
            </w:r>
            <w:r>
              <w:rPr>
                <w:rFonts w:ascii="方正书宋_GBK" w:eastAsia="方正书宋_GBK" w:hint="eastAsia"/>
              </w:rPr>
              <w:t>三农</w:t>
            </w:r>
            <w:r>
              <w:rPr>
                <w:rFonts w:ascii="方正书宋_GBK" w:eastAsia="方正书宋_GBK" w:hint="cs"/>
              </w:rPr>
              <w:t>”</w:t>
            </w:r>
            <w:r>
              <w:rPr>
                <w:rFonts w:ascii="方正书宋_GBK" w:eastAsia="方正书宋_GBK" w:hint="eastAsia"/>
              </w:rPr>
              <w:t>重大问题专项调研。</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三、社会福利政策及管理</w:t>
            </w:r>
          </w:p>
        </w:tc>
        <w:tc>
          <w:tcPr>
            <w:tcW w:w="12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78.00</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对残疾人等特殊群体权益保护，发展慈善事业，推进殡葬改革，发行福利彩票，促进老龄事业发展。</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全面建成以居家为基础、社区为依托、机构为补充，医养结合、功能完善、规模适度、覆盖城乡的养老服务体系，全面建立困难残疾人生活补贴和重度残疾人护理补贴制度。殡葬设施和设备现代、节能、节地、环保，惠民殡葬政策普及全省特殊困难群体，群众办理丧事文明节俭。</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、养老服务体系建设</w:t>
            </w:r>
          </w:p>
        </w:tc>
        <w:tc>
          <w:tcPr>
            <w:tcW w:w="12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65.00</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落实国家和省老龄事业发展规划，加快养老服务设施建设；指导全省养老机构设立和管理工作；加快养老服务业发展，推进老年人福利健康快速发展。建立全省贫困失能老人护理补贴制度，实施爱心护理工程。</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全面建成以居家为基础、社区为依托、机构为补充，医养结合、功能完善、规模适度、覆盖城乡的养老服务体系，建立以养老机构服务质量为依据的奖补政策，实现我省老人老有所养，老有所依，老有所乐，老有所为的目标。</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农村互助幸福院建设奖补率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特困人员集中供养率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城乡居家养老服务中心建设奖补率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符合条件的养老机构责任险奖补率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入住养老机构的老年人满意度</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非常满意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满意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一般</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不满意</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重度失能老人护理补贴制度建立普及率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爱心护理工程建设基地奖补率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养老机构一次性建设和运营奖补率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贫困老年人生活补贴制度建立普及率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、残疾人福利和慈善事业</w:t>
            </w:r>
          </w:p>
        </w:tc>
        <w:tc>
          <w:tcPr>
            <w:tcW w:w="12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13.00</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指导全省推进慈善事业发展和慈善超市建设；负责福利企业认定、假肢和矫形器（辅助器具）生产装配企业的资格认定；指导全省开展精神病福利机构建设。推进落实残疾人两项补贴制度。</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切实保障福利企业残疾职工基本权益，为残障人提供优质矫形器，全面落实残疾人两项补贴制度。</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假肢假矫形器生产装配企业资格认定合格率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接受奖补的新建慈善超市满意度</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非常满意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满意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一般</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不满意</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新建慈善超市奖补率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困难残疾人生活补贴和重度残疾人</w:t>
            </w:r>
            <w:r>
              <w:rPr>
                <w:rFonts w:ascii="方正书宋_GBK" w:eastAsia="方正书宋_GBK" w:hint="eastAsia"/>
              </w:rPr>
              <w:lastRenderedPageBreak/>
              <w:t>护理补贴足额兑现率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lastRenderedPageBreak/>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3</w:t>
            </w:r>
            <w:r>
              <w:rPr>
                <w:rFonts w:ascii="方正书宋_GBK" w:eastAsia="方正书宋_GBK" w:hint="eastAsia"/>
                <w:b/>
              </w:rPr>
              <w:t>、殡葬服务</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推进殡葬设施更新改造；推进殡葬设备环保更新；推进惠民殡葬政策实施；推行生态安葬形式；规范殡仪服务管理；推进丧事简办；推行火化和丧俗改革；统一规范火化证和骨灰安放证。</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殡葬设施和设备现代、节能、节地、环保，能够满足群众需求，改善生态环境；惠民殡葬政策普及全省特殊困难群体；生态安葬形式多样化；群众办理丧事文明节俭；全省使用统一规范的火化证和骨灰安放证。</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示范性农村公益性骨灰堂覆盖率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火化证及骨灰安放证统一规范率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惠民殡葬政策覆盖特殊困难群体百分比</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县级以上殡葬设施设备年更新改造率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殡葬设备环保更新率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四、双拥优抚安置政策及管理</w:t>
            </w:r>
          </w:p>
        </w:tc>
        <w:tc>
          <w:tcPr>
            <w:tcW w:w="12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471.00</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组织、指导全省拥军优属活动。组织对优抚对象的优待、抚恤的政策落实，负责全省转业士官、退役士兵及军队离退休干部、退休士官和军队无军籍退休退职职工接收安置工作。</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、优待抚恤</w:t>
            </w:r>
          </w:p>
        </w:tc>
        <w:tc>
          <w:tcPr>
            <w:tcW w:w="12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410.00</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负责全省优抚对象优待、抚恤工作；负责优抚对象数据更新管理；承担优抚对象巡诊、残疾军人康复辅助器械配备工作。</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确保优抚对象的生活水平不低于当地居民平均生活水平，义务兵家庭优待金及时足额兑现。优抚对象的生活、住房、医疗困难得到有效解决。</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残疾军人假肢等器具配备率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99%</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优抚对象抚恤和生活补助足额兑现率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99%</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优抚对象对优抚工作的满意度</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非常满意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满意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一般</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不满意</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、复员退伍军人及军休安置</w:t>
            </w:r>
          </w:p>
        </w:tc>
        <w:tc>
          <w:tcPr>
            <w:tcW w:w="12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61.00</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符合政府安排工作条件退役士兵接收安置工作；组织、指导全省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阳光安置，保障退役士兵合法权益；加强职业教育和技能培训；按时足额发放各类经济补助。全面落实军队离退休干部（含退休士官）政治和生活待遇。落实军队无军籍退休退职职工等相关政策。</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教育培训补助率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军队无军籍退休职工地方性津补贴到位率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1-4</w:t>
            </w:r>
            <w:r>
              <w:rPr>
                <w:rFonts w:ascii="方正书宋_GBK" w:eastAsia="方正书宋_GBK" w:hint="eastAsia"/>
              </w:rPr>
              <w:t>级伤病残购建房补助率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军休干部家属遗属医疗生活补助到位率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自主就业退役士兵补助率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自主就业退役士兵参加职业教育和</w:t>
            </w:r>
            <w:r>
              <w:rPr>
                <w:rFonts w:ascii="方正书宋_GBK" w:eastAsia="方正书宋_GBK" w:hint="eastAsia"/>
              </w:rPr>
              <w:lastRenderedPageBreak/>
              <w:t>技能培训满意度</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非常满意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满意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一般</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不满意</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省级军休干部医疗补助落实率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城镇退役士兵自谋职业补助率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、优抚事业单位能力建设</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加快全省优抚医院、光荣院建设和维修改造，提高服务保障水平，确保优抚对象基本生活和医疗；承担国家级、省级烈士纪念设施的审核报批工作，负责烈士纪念设施的保护和管理；负责全省军供站的建设与管理工作。</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优抚医院、光荣院、军供站达到国家建设标准；在院休病</w:t>
            </w:r>
            <w:r>
              <w:rPr>
                <w:rFonts w:ascii="方正书宋_GBK" w:eastAsia="方正书宋_GBK"/>
              </w:rPr>
              <w:t>(</w:t>
            </w:r>
            <w:r>
              <w:rPr>
                <w:rFonts w:ascii="方正书宋_GBK" w:eastAsia="方正书宋_GBK" w:hint="eastAsia"/>
              </w:rPr>
              <w:t>养）员医疗和生活补助标准不低于全国平均水平；确保为过往军队人员提供生活保障；烈士纪念设施爱国主义教育功能日益完善，烈士褒扬系统信息完整。</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军供站设施设备完好率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在院休（病）养员医疗和生活补助标准水平</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高于</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持平</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低于</w:t>
            </w: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优抚医院、光荣院、军供站建设标准</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达到</w:t>
            </w: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未达到</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烈士陵园基础设施及配套设施完好率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、拥军优属慰问及双拥活动</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组织指导全省拥军优属慰问工作、积极开展双拥活动。</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开展双拥系列活动，宣传双拥成果，积极营造全省双拥工作氛围。慰问驻冀军级驻军或基层部队和部分重点优抚对象</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慰问驻冀部队军级单位或其基层部队的比例</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双拥模范城（县）督导检查覆盖率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双拥活动参</w:t>
            </w:r>
            <w:r>
              <w:rPr>
                <w:rFonts w:ascii="方正书宋_GBK" w:eastAsia="方正书宋_GBK" w:hint="eastAsia"/>
              </w:rPr>
              <w:lastRenderedPageBreak/>
              <w:t>与群体满意度</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lastRenderedPageBreak/>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lastRenderedPageBreak/>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60%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lastRenderedPageBreak/>
              <w:t>五、社会管理与服务</w:t>
            </w:r>
          </w:p>
        </w:tc>
        <w:tc>
          <w:tcPr>
            <w:tcW w:w="12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5.00</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承担对社会组织的登记管理；负责全省行政区划、行政区域界线和地名管理工作；负责全省婚姻登记、涉外儿童收养登记和管理工作；组织指导基层政权和社区建设；推进社会工作专业人才队伍建设。</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推进全省社会组织健康发展，优化行政区划空间布局，提高登记质量，规范婚姻登记、收养登记业务，建立健全城乡基层群众自治组织，逐步实现社会工作者专业化、职业化。</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、社会组织管理</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依法对社会组织及境外非政府组织在冀分支机构、代表机构的登记管理和监察；负责社会组织的评估标准制定及实施；指导和监督市、县对社会组织的登记管理工作。</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推进全省社会组织健康发展，提高社会组织的社会公信力，增强社会组织服务社会的能力。</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社会组织登记合法率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社会组织登记合法率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社会组织登记、年检完成率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96%</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94%</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、社会事务管理</w:t>
            </w:r>
          </w:p>
        </w:tc>
        <w:tc>
          <w:tcPr>
            <w:tcW w:w="12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5.00</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负责全省行政区划、行政区域界线和地名管理工作，推进地名普查暨成果转化工作。推进婚俗改革；负责全省婚姻登记证的印制和管理，承办本省公民同外国人、华侨和港澳台同胞之间的婚姻登记；承办涉外儿童收养登记工作</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优化空间布局，为城镇化建设助力；促进边界地区的和谐稳定；为社会提供方便快捷的地名公共服务。提高登记质量，规范婚姻登记、收养登记业务。</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婚姻、收养登记合格率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省级行政区域界线联检完成率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行政区划调整风险评估率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、基层政权和社区建设</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组织指导乡镇、街道办事处和基层群众自治组织、社区干部培训；指导村（居）民委员会民主选举、民主决策、民主管理和民主监督，村（居）务公</w:t>
            </w:r>
            <w:r>
              <w:rPr>
                <w:rFonts w:ascii="方正书宋_GBK" w:eastAsia="方正书宋_GBK" w:hint="eastAsia"/>
              </w:rPr>
              <w:lastRenderedPageBreak/>
              <w:t>开；指导城乡社区建设及服务管理工作。</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lastRenderedPageBreak/>
              <w:t>建立健全城乡基层群众自治组织，在村（居）民委员会实行</w:t>
            </w:r>
            <w:r>
              <w:rPr>
                <w:rFonts w:ascii="方正书宋_GBK" w:eastAsia="方正书宋_GBK" w:hint="cs"/>
              </w:rPr>
              <w:t>“</w:t>
            </w:r>
            <w:r>
              <w:rPr>
                <w:rFonts w:ascii="方正书宋_GBK" w:eastAsia="方正书宋_GBK" w:hint="eastAsia"/>
              </w:rPr>
              <w:t>四个民主</w:t>
            </w:r>
            <w:r>
              <w:rPr>
                <w:rFonts w:ascii="方正书宋_GBK" w:eastAsia="方正书宋_GBK" w:hint="cs"/>
              </w:rPr>
              <w:t>”</w:t>
            </w:r>
            <w:r>
              <w:rPr>
                <w:rFonts w:ascii="方正书宋_GBK" w:eastAsia="方正书宋_GBK" w:hint="eastAsia"/>
              </w:rPr>
              <w:t>；按照</w:t>
            </w:r>
            <w:r>
              <w:rPr>
                <w:rFonts w:ascii="方正书宋_GBK" w:eastAsia="方正书宋_GBK" w:hint="cs"/>
              </w:rPr>
              <w:t>“</w:t>
            </w:r>
            <w:r>
              <w:rPr>
                <w:rFonts w:ascii="方正书宋_GBK" w:eastAsia="方正书宋_GBK" w:hint="eastAsia"/>
              </w:rPr>
              <w:t>四有一创</w:t>
            </w:r>
            <w:r>
              <w:rPr>
                <w:rFonts w:ascii="方正书宋_GBK" w:eastAsia="方正书宋_GBK" w:hint="cs"/>
              </w:rPr>
              <w:t>”</w:t>
            </w:r>
            <w:r>
              <w:rPr>
                <w:rFonts w:ascii="方正书宋_GBK" w:eastAsia="方正书宋_GBK" w:hint="eastAsia"/>
              </w:rPr>
              <w:t>标准开展城市社区建设，按照农村社区建设试点工作实施意见开</w:t>
            </w:r>
            <w:r>
              <w:rPr>
                <w:rFonts w:ascii="方正书宋_GBK" w:eastAsia="方正书宋_GBK" w:hint="eastAsia"/>
              </w:rPr>
              <w:lastRenderedPageBreak/>
              <w:t>展试点工作。</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lastRenderedPageBreak/>
              <w:t>村民委员会换届选举率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高于</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持平</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低于</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明显低于</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农村社区建设试点单位试点工作完</w:t>
            </w:r>
            <w:r>
              <w:rPr>
                <w:rFonts w:ascii="方正书宋_GBK" w:eastAsia="方正书宋_GBK" w:hint="eastAsia"/>
              </w:rPr>
              <w:lastRenderedPageBreak/>
              <w:t>成情况</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城市社区综合设施覆盖率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、社会工作专业人才队伍建设</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推进全省社会工作专业人才队伍建设和相关志愿者队伍建设。</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以人才培养为基础，以人才使用为根本，以建立健全人才评价和激励机制为保障，加快社会工作专业化、职业化建设。</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选派社会工作专业人才支持</w:t>
            </w:r>
            <w:r>
              <w:rPr>
                <w:rFonts w:ascii="方正书宋_GBK" w:eastAsia="方正书宋_GBK" w:hint="cs"/>
              </w:rPr>
              <w:t>“</w:t>
            </w:r>
            <w:r>
              <w:rPr>
                <w:rFonts w:ascii="方正书宋_GBK" w:eastAsia="方正书宋_GBK" w:hint="eastAsia"/>
              </w:rPr>
              <w:t>三区</w:t>
            </w:r>
            <w:r>
              <w:rPr>
                <w:rFonts w:ascii="方正书宋_GBK" w:eastAsia="方正书宋_GBK" w:hint="cs"/>
              </w:rPr>
              <w:t>”</w:t>
            </w:r>
            <w:r>
              <w:rPr>
                <w:rFonts w:ascii="方正书宋_GBK" w:eastAsia="方正书宋_GBK" w:hint="eastAsia"/>
              </w:rPr>
              <w:t>县工作完成率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cs"/>
              </w:rPr>
              <w:t>“</w:t>
            </w:r>
            <w:r>
              <w:rPr>
                <w:rFonts w:ascii="方正书宋_GBK" w:eastAsia="方正书宋_GBK" w:hint="eastAsia"/>
              </w:rPr>
              <w:t>三区</w:t>
            </w:r>
            <w:r>
              <w:rPr>
                <w:rFonts w:ascii="方正书宋_GBK" w:eastAsia="方正书宋_GBK" w:hint="cs"/>
              </w:rPr>
              <w:t>”</w:t>
            </w:r>
            <w:r>
              <w:rPr>
                <w:rFonts w:ascii="方正书宋_GBK" w:eastAsia="方正书宋_GBK" w:hint="eastAsia"/>
              </w:rPr>
              <w:t>县社会工作专业人才培养计划完成率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cs"/>
              </w:rPr>
              <w:t>“</w:t>
            </w:r>
            <w:r>
              <w:rPr>
                <w:rFonts w:ascii="方正书宋_GBK" w:eastAsia="方正书宋_GBK" w:hint="eastAsia"/>
              </w:rPr>
              <w:t>三区</w:t>
            </w:r>
            <w:r>
              <w:rPr>
                <w:rFonts w:ascii="方正书宋_GBK" w:eastAsia="方正书宋_GBK" w:hint="cs"/>
              </w:rPr>
              <w:t>”</w:t>
            </w:r>
            <w:r>
              <w:rPr>
                <w:rFonts w:ascii="方正书宋_GBK" w:eastAsia="方正书宋_GBK" w:hint="eastAsia"/>
              </w:rPr>
              <w:t>县社会工作人才专业技能提升情况</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社会工作专业人才登记率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、综合事物管理</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做好会议培训组织，内部信息化建设与维护，财务和资产管理，标准化建设，基础设施维修，大型设备购置，人事、党务等工作。</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六、残疾人服务</w:t>
            </w:r>
          </w:p>
        </w:tc>
        <w:tc>
          <w:tcPr>
            <w:tcW w:w="12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55.00</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健全残疾人法律服务体系，切实保障残疾人合法权益；全面推进城乡无障碍环境建设；开展康复、扶贫、教育培训等活</w:t>
            </w:r>
            <w:r>
              <w:rPr>
                <w:rFonts w:ascii="方正书宋_GBK" w:eastAsia="方正书宋_GBK" w:hint="eastAsia"/>
              </w:rPr>
              <w:lastRenderedPageBreak/>
              <w:t>动，直接为残疾人服务</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lastRenderedPageBreak/>
              <w:t>保障残疾人的诉求能够得到及时解决，保障残疾人出行权利；逐步实现残疾人</w:t>
            </w:r>
            <w:r>
              <w:rPr>
                <w:rFonts w:ascii="方正书宋_GBK" w:eastAsia="方正书宋_GBK" w:hint="cs"/>
              </w:rPr>
              <w:t>“</w:t>
            </w:r>
            <w:r>
              <w:rPr>
                <w:rFonts w:ascii="方正书宋_GBK" w:eastAsia="方正书宋_GBK" w:hint="eastAsia"/>
              </w:rPr>
              <w:t>人人享有康复服务</w:t>
            </w:r>
            <w:r>
              <w:rPr>
                <w:rFonts w:ascii="方正书宋_GBK" w:eastAsia="方正书宋_GBK" w:hint="cs"/>
              </w:rPr>
              <w:t>”</w:t>
            </w:r>
            <w:r>
              <w:rPr>
                <w:rFonts w:ascii="方正书宋_GBK" w:eastAsia="方正书宋_GBK" w:hint="eastAsia"/>
              </w:rPr>
              <w:t>，保障贫困和重度残疾</w:t>
            </w:r>
            <w:r>
              <w:rPr>
                <w:rFonts w:ascii="方正书宋_GBK" w:eastAsia="方正书宋_GBK" w:hint="eastAsia"/>
              </w:rPr>
              <w:lastRenderedPageBreak/>
              <w:t>人基本生活，提高残疾儿童义务教育入学率和残疾人就业率，丰富残疾人文体生活</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、残疾人康复</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加强残疾人康复设施、机构建设，实施康复重点项目</w:t>
            </w:r>
            <w:r>
              <w:rPr>
                <w:rFonts w:ascii="方正书宋_GBK" w:eastAsia="方正书宋_GBK"/>
              </w:rPr>
              <w:t>,</w:t>
            </w:r>
            <w:r>
              <w:rPr>
                <w:rFonts w:ascii="方正书宋_GBK" w:eastAsia="方正书宋_GBK" w:hint="eastAsia"/>
              </w:rPr>
              <w:t>为贫困残疾人、重度残疾人、残疾儿童、农村残疾人提供基本的康复服务。</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逐步实现残疾人</w:t>
            </w:r>
            <w:r>
              <w:rPr>
                <w:rFonts w:ascii="方正书宋_GBK" w:eastAsia="方正书宋_GBK" w:hint="cs"/>
              </w:rPr>
              <w:t>“</w:t>
            </w:r>
            <w:r>
              <w:rPr>
                <w:rFonts w:ascii="方正书宋_GBK" w:eastAsia="方正书宋_GBK" w:hint="eastAsia"/>
              </w:rPr>
              <w:t>人人享有基本康复服务</w:t>
            </w:r>
            <w:r>
              <w:rPr>
                <w:rFonts w:ascii="方正书宋_GBK" w:eastAsia="方正书宋_GBK" w:hint="cs"/>
              </w:rPr>
              <w:t>”</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康复机构规范达标率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为残疾人提供的基本康复服务显效率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康复人员业务开展率和服务能力测评通过率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残疾人康复后对生活质量满意率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&lt;60%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、残疾人教育就业扶贫和社会保障</w:t>
            </w:r>
          </w:p>
        </w:tc>
        <w:tc>
          <w:tcPr>
            <w:tcW w:w="12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55.00</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加强农村残疾人扶贫开发，实施精准扶贫；对各类残疾人实施职业技能教育和培训，对当年考入高等学校残疾大学生及残疾人家庭子女实施资助。</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促进残疾人增收致富；提高残疾人就业率；确保考入高等学校的贫困残疾学生及残疾人家庭子女基本生活</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残疾人就业洽谈会达成就业意向的残疾人比例</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&lt;10%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通过培训的残疾人就业率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增收的残疾人占年度被扶持的残疾人比率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对当年考入高等学校残</w:t>
            </w:r>
            <w:r>
              <w:rPr>
                <w:rFonts w:ascii="方正书宋_GBK" w:eastAsia="方正书宋_GBK" w:hint="eastAsia"/>
              </w:rPr>
              <w:lastRenderedPageBreak/>
              <w:t>疾学生及残疾人家庭子女资助率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lastRenderedPageBreak/>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残疾人及子女对资助满意度</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&lt;60%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、残疾人宣传文体和志愿者助残</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弘扬人道主义，倡导残疾人平等参与社会生活的理念，营造有利于残疾人事业发展的舆论环境；组织开展群众性文体活动，发展残疾人竞技体育；建立残疾人志愿者服务体系</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媒体宣传广泛深入，残疾人文体生活丰富，残疾人文化体育比赛成绩优良，助残志愿者与残疾人对接良好</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国内、国际综合性赛事或重点项目取得名次</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名以内</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名</w:t>
            </w:r>
            <w:r>
              <w:rPr>
                <w:rFonts w:ascii="方正书宋_GBK" w:eastAsia="方正书宋_GBK"/>
              </w:rPr>
              <w:t>-15</w:t>
            </w:r>
            <w:r>
              <w:rPr>
                <w:rFonts w:ascii="方正书宋_GBK" w:eastAsia="方正书宋_GBK" w:hint="eastAsia"/>
              </w:rPr>
              <w:t>名</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15</w:t>
            </w:r>
            <w:r>
              <w:rPr>
                <w:rFonts w:ascii="方正书宋_GBK" w:eastAsia="方正书宋_GBK" w:hint="eastAsia"/>
              </w:rPr>
              <w:t>名</w:t>
            </w:r>
            <w:r>
              <w:rPr>
                <w:rFonts w:ascii="方正书宋_GBK" w:eastAsia="方正书宋_GBK"/>
              </w:rPr>
              <w:t>-20</w:t>
            </w:r>
            <w:r>
              <w:rPr>
                <w:rFonts w:ascii="方正书宋_GBK" w:eastAsia="方正书宋_GBK" w:hint="eastAsia"/>
              </w:rPr>
              <w:t>名</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20</w:t>
            </w:r>
            <w:r>
              <w:rPr>
                <w:rFonts w:ascii="方正书宋_GBK" w:eastAsia="方正书宋_GBK" w:hint="eastAsia"/>
              </w:rPr>
              <w:t>名以外</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开展志愿者助残服务活动的种类</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4</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3</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&lt;3</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助残公益广告的制作和播放数量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&lt;100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残疾人对群众性残疾人文体活动组织的满意率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&lt;60%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、残疾人法律维权及无障碍环境建设</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接待残疾人来信来访，处理残疾人维权案件，为有需求的残疾人提供法律援助和临时救助，制定残疾人法律法规；推动无障碍环境建设，方便残疾人生活和参与社会活动。</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维护残疾人合法权益，对特困残疾人进行救助，对有需求的贫困残疾人家庭进行无障碍改造促进社会和谐稳定</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上访特困残疾人救助率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残疾人法律援助服务满意度</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残疾人对家庭无障碍改造满意率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&lt;60%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七、残疾人综合业务管</w:t>
            </w:r>
            <w:r>
              <w:rPr>
                <w:rFonts w:ascii="方正书宋_GBK" w:eastAsia="方正书宋_GBK" w:hint="eastAsia"/>
                <w:b/>
              </w:rPr>
              <w:lastRenderedPageBreak/>
              <w:t>理</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对持证残疾人需求情况进行调</w:t>
            </w:r>
            <w:r>
              <w:rPr>
                <w:rFonts w:ascii="方正书宋_GBK" w:eastAsia="方正书宋_GBK" w:hint="eastAsia"/>
              </w:rPr>
              <w:lastRenderedPageBreak/>
              <w:t>查，加强和规范残疾人基层组织建设，加大残疾人就业保障金的征收力度，加强残疾人工作信息化建设和基础研究</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lastRenderedPageBreak/>
              <w:t>摸清残疾人底数，增强基层服</w:t>
            </w:r>
            <w:r>
              <w:rPr>
                <w:rFonts w:ascii="方正书宋_GBK" w:eastAsia="方正书宋_GBK" w:hint="eastAsia"/>
              </w:rPr>
              <w:lastRenderedPageBreak/>
              <w:t>务残疾人的能力，确保残疾人就业保障金的稳定增收；构建残疾人公共服务网络化平台。</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、残疾人就业保障金征收及其他综合性业务</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对残疾人就业保障金征收工作进行督导；设施设备运转保障、残疾人组织建设、工作信息化建设等项工作</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促进残疾人就业保障金稳定增收，发挥专门协会桥梁纽带作用，联系广大残疾人；提高残疾人证办证率；增强基层服务残疾人的能力；保障正常运转，促进残疾人事业发展</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残疾人情况抽查核实准确率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&lt;75%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残疾人就业保障金收入增长率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&gt;0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&lt;-10%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五个专门协会活动完成率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&lt;60%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八、扶持农业生产</w:t>
            </w:r>
          </w:p>
        </w:tc>
        <w:tc>
          <w:tcPr>
            <w:tcW w:w="12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400.00</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支持推广优良品种、先进适用种养技术，实施科学管理</w:t>
            </w:r>
            <w:r>
              <w:rPr>
                <w:rFonts w:ascii="方正书宋_GBK" w:eastAsia="方正书宋_GBK"/>
              </w:rPr>
              <w:t>,</w:t>
            </w:r>
            <w:r>
              <w:rPr>
                <w:rFonts w:ascii="方正书宋_GBK" w:eastAsia="方正书宋_GBK" w:hint="eastAsia"/>
              </w:rPr>
              <w:t>提高农产品产量、质量，提高生产经营效益。</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提高农产品产量和质量，优化农业产业结构，提高经济效益，增加农民收入。</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、扶持主要农产品生产</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通过展示优良品种、集成配套高产栽培技术，辐射带动大面积的平衡增产，提高单产水平。</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提高农产品产量</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主要农作物良种补贴覆盖率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92%</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&lt;92%</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高产稳产粮田达标率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亩单产增长率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&lt;5%</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、实施菜篮子工程</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重点扶持一批有规模、生产技术基础好、区域优势突出、在增加产量和提高质量上有示范带动作用的农产品生产基地。通过改善生产条件，加强产品</w:t>
            </w:r>
            <w:r>
              <w:rPr>
                <w:rFonts w:ascii="方正书宋_GBK" w:eastAsia="方正书宋_GBK" w:hint="eastAsia"/>
              </w:rPr>
              <w:lastRenderedPageBreak/>
              <w:t>质量管理，强化品牌建设，大力推进标准化、集约化、现代化生产。</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lastRenderedPageBreak/>
              <w:t>提高蔬菜品质，实现产销一体</w:t>
            </w:r>
            <w:r>
              <w:rPr>
                <w:rFonts w:ascii="方正书宋_GBK" w:eastAsia="方正书宋_GBK"/>
              </w:rPr>
              <w:t>;</w:t>
            </w:r>
            <w:r>
              <w:rPr>
                <w:rFonts w:ascii="方正书宋_GBK" w:eastAsia="方正书宋_GBK" w:hint="eastAsia"/>
              </w:rPr>
              <w:t>增加肉、蛋供应量和提高畜产品质量</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生猪、蛋鸡、肉鸡、肉牛、肉羊标准化建设任务完成率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满意度</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非常满意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满意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一般</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不满意</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蔬菜标准园创建完成率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&lt;90%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、扶持乳粉业发展</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贯彻落实省政府（冀政办</w:t>
            </w:r>
            <w:r>
              <w:rPr>
                <w:rFonts w:ascii="方正书宋_GBK" w:eastAsia="方正书宋_GBK"/>
              </w:rPr>
              <w:t>[2013]57</w:t>
            </w:r>
            <w:r>
              <w:rPr>
                <w:rFonts w:ascii="方正书宋_GBK" w:eastAsia="方正书宋_GBK" w:hint="eastAsia"/>
              </w:rPr>
              <w:t>号）有关要求，推动一流奶源基地建设，扩大优质饲草种植。</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提高乳粉用奶源基地建设水平和奶源质量</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生产乳粉用泌乳牛增量完成率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优质青贮玉米种植量完成率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优质苜蓿种植量完成率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&lt;80%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、种养结合生态养殖示范</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扶持种养结合生态示范园建设，通过推广种养结合养殖模式，改善畜禽生产条件，提高土壤肥力，发展循环农业，提升综合效益。</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构建资源节约、生产清洁、废物循环利用、产品优质安全的生态循环养殖模式。</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种养结合生态示范园畜禽养殖量占规模场的养殖量比例</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种养结合生态示范园建设的完成率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种养结合生态示范园畜禽规模场粪污发酵利用率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5</w:t>
            </w:r>
            <w:r>
              <w:rPr>
                <w:rFonts w:ascii="方正书宋_GBK" w:eastAsia="方正书宋_GBK" w:hint="eastAsia"/>
                <w:b/>
              </w:rPr>
              <w:t>、扶持农业机械化发展</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开展主要农作物全过程机械化试点，提高农机作业水平，支持深松作业，作业深度超过</w:t>
            </w:r>
            <w:r>
              <w:rPr>
                <w:rFonts w:ascii="方正书宋_GBK" w:eastAsia="方正书宋_GBK"/>
              </w:rPr>
              <w:t>25</w:t>
            </w:r>
            <w:r>
              <w:rPr>
                <w:rFonts w:ascii="方正书宋_GBK" w:eastAsia="方正书宋_GBK" w:hint="eastAsia"/>
              </w:rPr>
              <w:t>厘米，深松间隔不大于</w:t>
            </w:r>
            <w:r>
              <w:rPr>
                <w:rFonts w:ascii="方正书宋_GBK" w:eastAsia="方正书宋_GBK"/>
              </w:rPr>
              <w:t>70</w:t>
            </w:r>
            <w:r>
              <w:rPr>
                <w:rFonts w:ascii="方正书宋_GBK" w:eastAsia="方正书宋_GBK" w:hint="eastAsia"/>
              </w:rPr>
              <w:t>厘</w:t>
            </w:r>
            <w:r>
              <w:rPr>
                <w:rFonts w:ascii="方正书宋_GBK" w:eastAsia="方正书宋_GBK" w:hint="eastAsia"/>
              </w:rPr>
              <w:lastRenderedPageBreak/>
              <w:t>米，通过实施农机深松作业，有效打破了土壤犁底层，节约了水资源，提高了肥料利用率。</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lastRenderedPageBreak/>
              <w:t>提高土壤蓄水保墒和抗旱防涝能力，提高粮食单产水平。</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农作物全程机械化示范区目标完成率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亩单产平均增长率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深松面积目标完成率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6</w:t>
            </w:r>
            <w:r>
              <w:rPr>
                <w:rFonts w:ascii="方正书宋_GBK" w:eastAsia="方正书宋_GBK" w:hint="eastAsia"/>
                <w:b/>
              </w:rPr>
              <w:t>、现代农业示范园区建设</w:t>
            </w:r>
          </w:p>
        </w:tc>
        <w:tc>
          <w:tcPr>
            <w:tcW w:w="12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400.00</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全省以环京津地区为重点，打造一批万亩以上的省级现代农业园区。</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推动园区农业基础设施、科技进步、质量安全、生态环保水平显著提升，土地产出率、资源利用率、劳动生产率明显提高。</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现代农业园区建设完成情况</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农业园区单位面积产值高于当地平均水平幅度</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&lt;10%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农业园区农民收入高于当地平均水平幅度</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&lt;10%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九、支持农业产业化</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组织实施农业产业化经营的发展规划与政策，支持全省农业企业产业化加快发展。</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拉伸农业产业链条，提升农产品附加值，增加农民收入，创造县域经济发展新增长点。</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、扶持农业产业化发展</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通过政策资金引导，加快建设农产品加工和大型物流项目。</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提高农产品加工水，提高农民收入。</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农产品加工园区农业生产化补助到位率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农业产业化经营率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64.5%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63%</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62.5%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62.5%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省级以上农业龙头企业销售收入增幅</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2</w:t>
            </w:r>
            <w:r>
              <w:rPr>
                <w:rFonts w:ascii="方正书宋_GBK" w:eastAsia="方正书宋_GBK" w:hint="eastAsia"/>
                <w:b/>
              </w:rPr>
              <w:t>、支持农业对外开放</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支持农业对外开放，促进农产品出口和国际合作</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建设国际标准农产品生产示范基地，加快农业走出去步伐，支持境内农业认证，拓展国际市场。</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国际会展完成率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基地建设完成率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认证完成率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目标完成率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十、农业资源保护和生态建设</w:t>
            </w:r>
          </w:p>
        </w:tc>
        <w:tc>
          <w:tcPr>
            <w:tcW w:w="12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60.00</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按照可持续发展和建设生态农业的要求，保护农业资源，改善和保护农村环境。</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建设生态农业，改善农村环境，实现农业可持续发展。</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、农村能源清洁开发利用</w:t>
            </w:r>
          </w:p>
        </w:tc>
        <w:tc>
          <w:tcPr>
            <w:tcW w:w="12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60.00</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试点示范以</w:t>
            </w:r>
            <w:r>
              <w:rPr>
                <w:rFonts w:ascii="方正书宋_GBK" w:eastAsia="方正书宋_GBK" w:hint="cs"/>
              </w:rPr>
              <w:t>“</w:t>
            </w:r>
            <w:r>
              <w:rPr>
                <w:rFonts w:ascii="方正书宋_GBK" w:eastAsia="方正书宋_GBK" w:hint="eastAsia"/>
              </w:rPr>
              <w:t>沼气循环</w:t>
            </w:r>
            <w:r>
              <w:rPr>
                <w:rFonts w:ascii="方正书宋_GBK" w:eastAsia="方正书宋_GBK" w:hint="cs"/>
              </w:rPr>
              <w:t>”</w:t>
            </w:r>
            <w:r>
              <w:rPr>
                <w:rFonts w:ascii="方正书宋_GBK" w:eastAsia="方正书宋_GBK" w:hint="eastAsia"/>
              </w:rPr>
              <w:t>为纽带的</w:t>
            </w:r>
            <w:r>
              <w:rPr>
                <w:rFonts w:ascii="方正书宋_GBK" w:eastAsia="方正书宋_GBK" w:hint="cs"/>
              </w:rPr>
              <w:t>“</w:t>
            </w:r>
            <w:r>
              <w:rPr>
                <w:rFonts w:ascii="方正书宋_GBK" w:eastAsia="方正书宋_GBK"/>
              </w:rPr>
              <w:t>1233</w:t>
            </w:r>
            <w:r>
              <w:rPr>
                <w:rFonts w:ascii="方正书宋_GBK" w:eastAsia="方正书宋_GBK"/>
              </w:rPr>
              <w:t>”</w:t>
            </w:r>
            <w:r>
              <w:rPr>
                <w:rFonts w:ascii="方正书宋_GBK" w:eastAsia="方正书宋_GBK" w:hint="eastAsia"/>
              </w:rPr>
              <w:t>模式农业资源与生态保护项目；按照整乡整村推进的模式，建设秸秆综合利用试点项目；集中示范推广高效清洁燃烧炉具、电采暖、太阳能互补采暖、太阳能热水器、太阳灶、秸秆能源化利用等多种技术，打造新能源示范村。</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实现农作物秸秆的高效能源化利用，减少大气污染排放，改善农村环境。</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民用清洁燃烧炉具推广率实现情况</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0.48%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0.45%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0.41%</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0.41%</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小型沼气工程建设完工率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户用沼气工程建设完工率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大气污染物减排完成率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居民对节能技术应用及环境改善的满意度</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、农业污染治理</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创建现代生态循环农业示范区，为控制农业面源污染提供示范样板。探索适合不同区域</w:t>
            </w:r>
            <w:r>
              <w:rPr>
                <w:rFonts w:ascii="方正书宋_GBK" w:eastAsia="方正书宋_GBK" w:hint="eastAsia"/>
              </w:rPr>
              <w:lastRenderedPageBreak/>
              <w:t>特点的畜禽粪污等农业农村废弃物综合利用模式，引导形成布局合理、规模适度、农牧结合、循环发展的废弃物资源化利用机制。</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lastRenderedPageBreak/>
              <w:t>开展农产品产地重金属污染防治，推广标准厚度农膜及可降解地膜地膜，开展废旧农膜回</w:t>
            </w:r>
            <w:r>
              <w:rPr>
                <w:rFonts w:ascii="方正书宋_GBK" w:eastAsia="方正书宋_GBK" w:hint="eastAsia"/>
              </w:rPr>
              <w:lastRenderedPageBreak/>
              <w:t>收工作。创建现代生态循环农业示范区。实现畜禽养殖粪污资源循环利用，改善农村生态环境质量，促进畜牧业健康可持续发展。</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lastRenderedPageBreak/>
              <w:t>全省开展土地污染修复效果实现情</w:t>
            </w:r>
            <w:r>
              <w:rPr>
                <w:rFonts w:ascii="方正书宋_GBK" w:eastAsia="方正书宋_GBK" w:hint="eastAsia"/>
              </w:rPr>
              <w:lastRenderedPageBreak/>
              <w:t>况</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lastRenderedPageBreak/>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废旧农膜回收加工企业扶持建设和废旧地膜回收网点建立完成情况</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养殖场粪污处理利用设施建设任务完成率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粪污资源化利用率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现代生态循环农业示范区创建完成率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年度监测任务完成率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十一、农业科技支撑和公共服务</w:t>
            </w:r>
          </w:p>
        </w:tc>
        <w:tc>
          <w:tcPr>
            <w:tcW w:w="12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65.00</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提高农业机械化水平，建立健全农业科技服务和防灾减灾体系，推动农业生产向现代农业发展。</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促进农业现代化，提高农业劳动生产率，增加农民收入。</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、农作物种子鉴定与推广</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推广应用农作物优良品种，对农作物种子质量进行监督抽查。</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通过农作物新品种鉴定和种质量监督检验，推广优良品种，提高主要农作物优良品种覆盖率。</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农作物新品种审定（登记）完成率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种子质量监督抽查完成率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主要农作物良种覆盖率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97%</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92%</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92%</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农作物节水品种推广率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、良种繁育体系建设及基础母牛扩群</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对奶牛、肉用种牛、种公猪开展生产性能测定，向社会推广优质的畜种。</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推广优质种畜禽品种。</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种猪效果指标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奶牛生产性能测定工作完成率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犊牛增长量完成率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公牛的效果指标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每头牛年产奶增加量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肉用公牛的性能测定完成率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肉牛出栏量增长率（架子牛增长率）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种猪常温精液产品抽样检测率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、动植物疫病防控</w:t>
            </w:r>
          </w:p>
        </w:tc>
        <w:tc>
          <w:tcPr>
            <w:tcW w:w="12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65.00</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落实动植物防疫检疫政策，建立完善动植物防疫和检疫体系。组织开展动植物的防疫检疫工作，发布疫情并组织扑灭。</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有效减少动植物疫情危害</w:t>
            </w:r>
            <w:r>
              <w:rPr>
                <w:rFonts w:ascii="方正书宋_GBK" w:eastAsia="方正书宋_GBK"/>
              </w:rPr>
              <w:t>,</w:t>
            </w:r>
            <w:r>
              <w:rPr>
                <w:rFonts w:ascii="方正书宋_GBK" w:eastAsia="方正书宋_GBK" w:hint="eastAsia"/>
              </w:rPr>
              <w:t>促进农业健康发展</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应免动物疫病强制免疫率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病死猪无害化处理率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动植物疫情监测目标完成率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突发动植物疫情处置率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布病阳性奶牛强制扑杀率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、农产品质量安全监管</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加强农产品质量安全监管体系建设，指导农产品检验检测体系建设和机构考核，依法实施符合安全标准的农产品认证和监督管理。组织开展农产品质量安全的监督检查。</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加强农产品质量安全体系建设</w:t>
            </w:r>
            <w:r>
              <w:rPr>
                <w:rFonts w:ascii="方正书宋_GBK" w:eastAsia="方正书宋_GBK"/>
              </w:rPr>
              <w:t>,</w:t>
            </w:r>
            <w:r>
              <w:rPr>
                <w:rFonts w:ascii="方正书宋_GBK" w:eastAsia="方正书宋_GBK" w:hint="eastAsia"/>
              </w:rPr>
              <w:t>提高监管能力</w:t>
            </w:r>
            <w:r>
              <w:rPr>
                <w:rFonts w:ascii="方正书宋_GBK" w:eastAsia="方正书宋_GBK"/>
              </w:rPr>
              <w:t>,</w:t>
            </w:r>
            <w:r>
              <w:rPr>
                <w:rFonts w:ascii="方正书宋_GBK" w:eastAsia="方正书宋_GBK" w:hint="eastAsia"/>
              </w:rPr>
              <w:t>确保农产品质量安全。</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重大农产品质量安全事件发生率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农产品及农业投入品质量抽检计划完成率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任务完成率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&lt;90%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5</w:t>
            </w:r>
            <w:r>
              <w:rPr>
                <w:rFonts w:ascii="方正书宋_GBK" w:eastAsia="方正书宋_GBK" w:hint="eastAsia"/>
                <w:b/>
              </w:rPr>
              <w:t>、农业信息服务</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组织开展农业统计，监测分析农业和农村经济运行，发布农业和农村经济信息，建设农业信息管理体系，指导农业信息服务。</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加强农业信息服务体系建设，提高农业信息服务水平。</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农业信息发布及时率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农业信息社会发布任务完成率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全省农业信息网故障次数</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6</w:t>
            </w:r>
            <w:r>
              <w:rPr>
                <w:rFonts w:ascii="方正书宋_GBK" w:eastAsia="方正书宋_GBK" w:hint="eastAsia"/>
                <w:b/>
              </w:rPr>
              <w:t>、农业科技创新推广</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建设现代农业产业技术体系创新团队，开展农业重大关键技术科技创新、技术集成和示范推广，为产业发展提供科技引</w:t>
            </w:r>
            <w:r>
              <w:rPr>
                <w:rFonts w:ascii="方正书宋_GBK" w:eastAsia="方正书宋_GBK" w:hint="eastAsia"/>
              </w:rPr>
              <w:lastRenderedPageBreak/>
              <w:t>领和支撑。</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lastRenderedPageBreak/>
              <w:t>建立健全农业科技创新推广服务体系，加强农技推广队伍建设，有效提高农业科技对产业发展的支撑作用</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基层农技推广人员知识更新培训满意度</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按照产业技术体系创新团队年度工作任务书，完成年度任务目标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11</w:t>
            </w:r>
            <w:r>
              <w:rPr>
                <w:rFonts w:ascii="方正书宋_GBK" w:eastAsia="方正书宋_GBK" w:hint="eastAsia"/>
              </w:rPr>
              <w:t>个产业技术体系创新团队年度绩效考评情况</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完成年度基层农技人员知识更新培训任务目标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7</w:t>
            </w:r>
            <w:r>
              <w:rPr>
                <w:rFonts w:ascii="方正书宋_GBK" w:eastAsia="方正书宋_GBK" w:hint="eastAsia"/>
                <w:b/>
              </w:rPr>
              <w:t>、农业防灾减灾</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监测、发布农业灾情，组织种子、化肥等救灾物资储备和调拨，指导紧急救灾和灾后生产恢复。</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加强灾情监测，组织灾后生产恢复。</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灾情报告准确率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救灾物资到位率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救灾措施到位率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十二、完善农村经营管理体制</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推进农村集体产权制度改革，完善农村土地承包制度，引导农村土地合理流转。创新农业经营主体。</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规范流转行为，优化资源配置，促进农民专业合作经济组织健康发展，加快新农村建设和城镇化进程。</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、支持农业社会化服务体系建设</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推动土地合作社、股份合作社和综合性合作社等多元化、多类型农民合作社加快发展；深入开展示范社建设行动；加大对农民合作社培训力度。</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促进全省农民合作社规范健康发展。</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省级示范家庭农场规范运行，示范带动能力增强。</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农民合作社</w:t>
            </w:r>
            <w:r>
              <w:rPr>
                <w:rFonts w:ascii="方正书宋_GBK" w:eastAsia="方正书宋_GBK" w:hint="eastAsia"/>
              </w:rPr>
              <w:lastRenderedPageBreak/>
              <w:t>省级示范社规范运行，辐射带动能力增强。</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lastRenderedPageBreak/>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lastRenderedPageBreak/>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任务完成率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&lt;90%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、指导农村土地承包</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根据国家要求开展农村土地承包经营确权登记试点，并逐步向全省全面推开。</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进一步完善农村土地承包关系，保护农民利益，促进规模化经营。</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农村土地外业调查二次公示无异议面积完成率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农村土地外业调查面积完成率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任务完成率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&lt;90%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、农村经营管理</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支持农民专业合作组织规范、健康发展。建立健全农村集体</w:t>
            </w:r>
            <w:r>
              <w:rPr>
                <w:rFonts w:ascii="方正书宋_GBK" w:eastAsia="方正书宋_GBK" w:hint="cs"/>
              </w:rPr>
              <w:t>“</w:t>
            </w:r>
            <w:r>
              <w:rPr>
                <w:rFonts w:ascii="方正书宋_GBK" w:eastAsia="方正书宋_GBK" w:hint="eastAsia"/>
              </w:rPr>
              <w:t>三资</w:t>
            </w:r>
            <w:r>
              <w:rPr>
                <w:rFonts w:ascii="方正书宋_GBK" w:eastAsia="方正书宋_GBK" w:hint="cs"/>
              </w:rPr>
              <w:t>”</w:t>
            </w:r>
            <w:r>
              <w:rPr>
                <w:rFonts w:ascii="方正书宋_GBK" w:eastAsia="方正书宋_GBK" w:hint="eastAsia"/>
              </w:rPr>
              <w:t>管理制度，盘活集体存量资产资源，拓宽集体增收渠道，促进农村集体资产保值增值。</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建立健全农村集体</w:t>
            </w:r>
            <w:r>
              <w:rPr>
                <w:rFonts w:ascii="方正书宋_GBK" w:eastAsia="方正书宋_GBK" w:hint="cs"/>
              </w:rPr>
              <w:t>“</w:t>
            </w:r>
            <w:r>
              <w:rPr>
                <w:rFonts w:ascii="方正书宋_GBK" w:eastAsia="方正书宋_GBK" w:hint="eastAsia"/>
              </w:rPr>
              <w:t>三资</w:t>
            </w:r>
            <w:r>
              <w:rPr>
                <w:rFonts w:ascii="方正书宋_GBK" w:eastAsia="方正书宋_GBK" w:hint="cs"/>
              </w:rPr>
              <w:t>”</w:t>
            </w:r>
            <w:r>
              <w:rPr>
                <w:rFonts w:ascii="方正书宋_GBK" w:eastAsia="方正书宋_GBK" w:hint="eastAsia"/>
              </w:rPr>
              <w:t>管理制度，促进农村集体资产保值增值。</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村集体经济业务规范率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农村集体</w:t>
            </w:r>
            <w:r>
              <w:rPr>
                <w:rFonts w:ascii="方正书宋_GBK" w:eastAsia="方正书宋_GBK" w:hint="cs"/>
              </w:rPr>
              <w:t>“</w:t>
            </w:r>
            <w:r>
              <w:rPr>
                <w:rFonts w:ascii="方正书宋_GBK" w:eastAsia="方正书宋_GBK" w:hint="eastAsia"/>
              </w:rPr>
              <w:t>三资</w:t>
            </w:r>
            <w:r>
              <w:rPr>
                <w:rFonts w:ascii="方正书宋_GBK" w:eastAsia="方正书宋_GBK" w:hint="cs"/>
              </w:rPr>
              <w:t>”</w:t>
            </w:r>
            <w:r>
              <w:rPr>
                <w:rFonts w:ascii="方正书宋_GBK" w:eastAsia="方正书宋_GBK" w:hint="eastAsia"/>
              </w:rPr>
              <w:t>管理制度建立率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任务完成率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&lt;90%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十三、农业农经政务管理</w:t>
            </w:r>
          </w:p>
        </w:tc>
        <w:tc>
          <w:tcPr>
            <w:tcW w:w="12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90.00</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开展农业宣传，推动农业政策落实。保障农业信息网络和各项政党工作的开展</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保障各项农业工作的正常运行</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、综合业务管理</w:t>
            </w:r>
          </w:p>
        </w:tc>
        <w:tc>
          <w:tcPr>
            <w:tcW w:w="12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90.00</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调研提出规划和政策建议，工作部署、协调推动、普查统计、督促指导、对外合作、业务监管及省委、政府交办的其他事</w:t>
            </w:r>
            <w:r>
              <w:rPr>
                <w:rFonts w:ascii="方正书宋_GBK" w:eastAsia="方正书宋_GBK" w:hint="eastAsia"/>
              </w:rPr>
              <w:lastRenderedPageBreak/>
              <w:t>项等行政管理事项。</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lastRenderedPageBreak/>
              <w:t>加强管理，园满完成省委、省政府交办任务</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综合业务管理工作完成率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综合事务管</w:t>
            </w:r>
            <w:r>
              <w:rPr>
                <w:rFonts w:ascii="方正书宋_GBK" w:eastAsia="方正书宋_GBK" w:hint="eastAsia"/>
              </w:rPr>
              <w:lastRenderedPageBreak/>
              <w:t>理工作完成率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lastRenderedPageBreak/>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lastRenderedPageBreak/>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对外联络服务满意度</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十四、指导推进农村改革</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全面深化农村重点领域、关键环节改革，加快推进农业农村体制机制创新，增强全省农村经济社会发展活力。</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全面深化农村重点领域、关键环节改革，加快推进农业农村体制机制创新，增强全省农村经济社会发展活力。使农业增效、农民增收、农村增活力。</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、指导农村综合改革</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协调指导推进土地流转、村集体股份制改造等农村综合改革，创新农村基本经营制度，完善相关机制建设。</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构建归属清晰、权责明确、保护严格、流转顺畅的现代农村产权体系。</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总结推广典型经验（个）</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业务培训人数（人）</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制定相关政策文件（个）</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农民群众对土地确权登记颁发满意度</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、综合业务管理</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研究全市农业农村工作政策文件，督导落实市委、市政府农业农村重点工作和重大政策，组织开展</w:t>
            </w:r>
            <w:r>
              <w:rPr>
                <w:rFonts w:ascii="方正书宋_GBK" w:eastAsia="方正书宋_GBK" w:hint="cs"/>
              </w:rPr>
              <w:t>“</w:t>
            </w:r>
            <w:r>
              <w:rPr>
                <w:rFonts w:ascii="方正书宋_GBK" w:eastAsia="方正书宋_GBK" w:hint="eastAsia"/>
              </w:rPr>
              <w:t>三农</w:t>
            </w:r>
            <w:r>
              <w:rPr>
                <w:rFonts w:ascii="方正书宋_GBK" w:eastAsia="方正书宋_GBK" w:hint="cs"/>
              </w:rPr>
              <w:t>”</w:t>
            </w:r>
            <w:r>
              <w:rPr>
                <w:rFonts w:ascii="方正书宋_GBK" w:eastAsia="方正书宋_GBK" w:hint="eastAsia"/>
              </w:rPr>
              <w:t>重大问题专项调研。</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十五、指导农村经济发展</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协调指导农村经济健康发展，着力促进农民收入持续较快增长。</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积极推动中央和省委、省政府各项强农惠农富农政策落实，协调指导农村经济健康发展，着力促进农民收入持续快速增长。使农民收入实现持续稳定</w:t>
            </w:r>
            <w:r>
              <w:rPr>
                <w:rFonts w:ascii="方正书宋_GBK" w:eastAsia="方正书宋_GBK" w:hint="eastAsia"/>
              </w:rPr>
              <w:lastRenderedPageBreak/>
              <w:t>增长，农村经济持续较快发展。</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、指导县域经济发展</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完善支持区域经济发展政策体系，指导县域经济结构优化和发展方式转型，加快农村新型家庭手工业发展，促进农民收入持续较快增长。</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做好农村经济指标监测与评价，提出农村经济持续较快发展的意见和建议，为省领导决策提供支撑；推动县域经济实力发展壮大，促进农民收入持续稳定增长。</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提出农村经济运行分析报告和专项分析报告数量（个）</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3</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2</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农村经济指标监测与评价工作完成率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政策措施建议采用率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十六、民兵预备役建设</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保密</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保密</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、民兵工作</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保密</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、预备役工作</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保密</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、民兵武器装备管理</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保密</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十七、国防动员</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保密</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保密</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、国防动员</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保密</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、经济动员</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保密</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、国防后备力量建设</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保密</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、征兵工作</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保密</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5</w:t>
            </w:r>
            <w:r>
              <w:rPr>
                <w:rFonts w:ascii="方正书宋_GBK" w:eastAsia="方正书宋_GBK" w:hint="eastAsia"/>
                <w:b/>
              </w:rPr>
              <w:t>、国防教育</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保密</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、动植物疫病防控</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落实动植物防疫检疫政策，建立完善动植物防疫和检疫体系。组织开展动植物的防疫检疫工作，发布疫情并组织扑灭。</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lastRenderedPageBreak/>
              <w:t>十八、综合业务管理</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保密</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保密</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、综合业务管理</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保密</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、军事志工作</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保密</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、全省军事设施保护</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保密</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、涉军维权工作</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保密</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5</w:t>
            </w:r>
            <w:r>
              <w:rPr>
                <w:rFonts w:ascii="方正书宋_GBK" w:eastAsia="方正书宋_GBK" w:hint="eastAsia"/>
                <w:b/>
              </w:rPr>
              <w:t>、营房建设工作</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保密</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6</w:t>
            </w:r>
            <w:r>
              <w:rPr>
                <w:rFonts w:ascii="方正书宋_GBK" w:eastAsia="方正书宋_GBK" w:hint="eastAsia"/>
                <w:b/>
              </w:rPr>
              <w:t>、征兵楼维修</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保密</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7</w:t>
            </w:r>
            <w:r>
              <w:rPr>
                <w:rFonts w:ascii="方正书宋_GBK" w:eastAsia="方正书宋_GBK" w:hint="eastAsia"/>
                <w:b/>
              </w:rPr>
              <w:t>、全省民兵装备仓库</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保密</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8</w:t>
            </w:r>
            <w:r>
              <w:rPr>
                <w:rFonts w:ascii="方正书宋_GBK" w:eastAsia="方正书宋_GBK" w:hint="eastAsia"/>
                <w:b/>
              </w:rPr>
              <w:t>、省军区综合训练基地</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保密</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、综合业务管理</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调研提出规划和政策建议，工作部署、协调推动、普查统计、督促指导、对外合作、行政审批、业务监管及市委、政府交办的其他事项等行政管理事项。</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、农业产业化</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组织年度产业化项目建设及资金使用情况检查督导，对年度农业产业化项目进行市级验收；对相关市县农业产业化项目建设情况和资金管理情况进行大排查，提前发现并消灭问题隐患。</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、综合业务管理</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拟定全区农业开发规划和实施计划；对全区农业综合开发工作进行综合、协调、指导、服务。</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lastRenderedPageBreak/>
              <w:t>十九、水利水电项目建设与管理</w:t>
            </w:r>
          </w:p>
        </w:tc>
        <w:tc>
          <w:tcPr>
            <w:tcW w:w="12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167.00</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水利水电项目的建设与维护管理。</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按期完成水利水电项目建设和维修管护任务，对社会稳定和经济发展起到积极作用</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、水利工程建设</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组织实施水利工程项目建设。（指导江河、堤防、水库、大中型和重要小型水闸、灌排泵站、水利枢纽等的除险加固、治理，指导各地实施工程的建设管理和质量监督）</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解决农村饮水安全问题</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受益群众满意率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水利工程运行与维护项目验收合格率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解决农村饮用水安全人口情况</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水利工程除险加固及治理工作完成率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受益群众满意率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移民生产生活条件改善情况</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明显改善</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改善</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cs"/>
              </w:rPr>
              <w:t>——</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未改善</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小型农田水利设施建设完成量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工程质量合格率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实施工程建设管理和质量监督工作</w:t>
            </w:r>
            <w:r>
              <w:rPr>
                <w:rFonts w:ascii="方正书宋_GBK" w:eastAsia="方正书宋_GBK" w:hint="eastAsia"/>
              </w:rPr>
              <w:lastRenderedPageBreak/>
              <w:t>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节水灌溉面积</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农村饮用水安全工程完成量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&lt;70%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、组织实施水利工程运行与维护。</w:t>
            </w:r>
          </w:p>
        </w:tc>
        <w:tc>
          <w:tcPr>
            <w:tcW w:w="12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167.00</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指导河道堤防、水库、水闸、排灌泵站、水文等水利工程运行管理，保障工程安全运行。</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及时对水利工程实施维修养护，有效保障水利工程正常运行，充分发挥水利工程的社会和经济效益。</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水利工程运行与维护工作完成率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水利工程运行与维护工作资金拨付率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水利工程运行与维护项目验收合格率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&lt;80%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、农田水利建设</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建设小型农田水利设施，实施节水灌溉、推广综合节水技术。</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发展节水灌溉面积，推广综合节水技术</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小型农田水利设施建设完成量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节水灌溉面积</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受益群众满意率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&lt;80%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、水库移民安置及后期管理</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落实水库移民政策，扶持移民发展生产，保持移民稳定。</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增加移民收入，改善移民生产生活条件，促进移民稳定</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移民生产生活条件改善情况</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明显改善</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改善</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cs"/>
              </w:rPr>
              <w:t>——</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未改善</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移民后期扶持项目验收</w:t>
            </w:r>
            <w:r>
              <w:rPr>
                <w:rFonts w:ascii="方正书宋_GBK" w:eastAsia="方正书宋_GBK" w:hint="eastAsia"/>
              </w:rPr>
              <w:lastRenderedPageBreak/>
              <w:t>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移民满意率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&lt;80%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二十、水资源保护和生态建设</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组织实施全区水资源管理和水土保持相关工作。</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促进水资源可持续发展，保护生态环境</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、水资源管理</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统一管理全区水资源，组织实施全区水资源节约、保护、配置、监督管理等工作。全面落实最严格水资源管理制度。协调实施跨流域调水，制定调水计划，组织做好输水管理工作。</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用水总量、地下水开采总量、万元工业增加值用水量都控制在计划范围以内</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水资源节约、保护、配置、监督管理等工作完成率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用水总量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万元工业增加值用水量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&lt;90%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、水土保持</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组织新区水土保持工作。研究制定水土保持规划，承担水土流失综合防治工作；依法开展水土保持监督管理工作，组织新区水土流失监测并公告；组织开展水土保持宣传教育工作。</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保护和合理利用水土资源，改善生态环境，维护生态安全。本年度治理水土流失面积</w:t>
            </w:r>
            <w:r>
              <w:rPr>
                <w:rFonts w:ascii="方正书宋_GBK" w:eastAsia="方正书宋_GBK"/>
              </w:rPr>
              <w:t>2000km2</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造林治理面积</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水土流失治理面积</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水土流失减少量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二十一、水利科技支撑和公共服务</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组织指导全省水利事业建设的科技创新和技术示范推广，为水利事业科学发展提供公共支撑。</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研制并示范推广水利工程和管理技术，提高水利事业管理水平。</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、防汛抗旱</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负责新区防汛抗旱组织管理、应急调度，指导水利行业信息化建设，建设应急度汛、抗旱应急，支持基层防汛抗旱组织建设，储备管理防汛抗旱物资，</w:t>
            </w:r>
            <w:r>
              <w:rPr>
                <w:rFonts w:ascii="方正书宋_GBK" w:eastAsia="方正书宋_GBK" w:hint="eastAsia"/>
              </w:rPr>
              <w:lastRenderedPageBreak/>
              <w:t>建设水利信息化基础设施，提高新区抗御水旱灾害能力。</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lastRenderedPageBreak/>
              <w:t>发挥防汛抗旱减灾体系作用，最大限度地减少水旱灾害造成的人员伤亡和财产损失。</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工程完成量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防汛抗旱投资完成率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群众满意度</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非常</w:t>
            </w:r>
            <w:r>
              <w:rPr>
                <w:rFonts w:ascii="方正书宋_GBK" w:eastAsia="方正书宋_GBK" w:hint="eastAsia"/>
              </w:rPr>
              <w:lastRenderedPageBreak/>
              <w:t>满意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满意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一般</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不满</w:t>
            </w:r>
            <w:r>
              <w:rPr>
                <w:rFonts w:ascii="方正书宋_GBK" w:eastAsia="方正书宋_GBK" w:hint="eastAsia"/>
              </w:rPr>
              <w:lastRenderedPageBreak/>
              <w:t>意</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、综合业务管理</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编制水利规划，组织开展新区水利行业安全生产监管工作，研究重要课题和政策建议，工作部署、协调推动、普查统计、督促指导、对外合作、行政审批、业务监管、水利立法、执法、法制宣传、处理水事纠纷，监督检查、人事管理、表彰奖励及其他依法行政管理活动。省委、政府交办的其他事项等行政管理事项。</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依法依规完成工作任务，推进科学决策</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综合业务管理工作任务完成率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、综合事务管理</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负责新区防汛抗旱组织管理、应急调度，指导水利行业信息化建设，建设应急度汛、抗旱应急，支持基层防汛抗旱组织建设，储备管理防汛抗旱物资，建设水利信息化基础设施，提高新区抗御水旱灾害能力。</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确保机关工作正常运行</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综合事务管理工作任务完成率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二十二、公共卫生服务</w:t>
            </w:r>
          </w:p>
        </w:tc>
        <w:tc>
          <w:tcPr>
            <w:tcW w:w="12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130.00</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公共卫生是保障人民大众身心健康的公共事业，包括提供基本公共卫生服务，疾病预防控制，对突发公共卫生事件的应急处置，促进妇女儿童健康，食品安全风险监测与地方标准制（修）订等各项工作。</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推进基本公共卫生服务均等化；控制各类重大疾病的发生与传播；有效应对我省突发公共卫生事件；保障妇女儿童身心健康；提高食品安全风险预警能力，为保障食品安全提供技术支撑。</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、基本公共卫生服务</w:t>
            </w:r>
          </w:p>
        </w:tc>
        <w:tc>
          <w:tcPr>
            <w:tcW w:w="12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130.00</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按照国家基本公共卫生服务项目《规范》，组织全区基层医疗</w:t>
            </w:r>
            <w:r>
              <w:rPr>
                <w:rFonts w:ascii="方正书宋_GBK" w:eastAsia="方正书宋_GBK" w:hint="eastAsia"/>
              </w:rPr>
              <w:lastRenderedPageBreak/>
              <w:t>卫生机构开展实施基本公共卫生服务项目。</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lastRenderedPageBreak/>
              <w:t>对城乡居民健康实行干预，减少危害健康的因素，有效预防</w:t>
            </w:r>
            <w:r>
              <w:rPr>
                <w:rFonts w:ascii="方正书宋_GBK" w:eastAsia="方正书宋_GBK" w:hint="eastAsia"/>
              </w:rPr>
              <w:lastRenderedPageBreak/>
              <w:t>传染病及慢性病，使其享有平等的基本卫生服务。</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lastRenderedPageBreak/>
              <w:t>35</w:t>
            </w:r>
            <w:r>
              <w:rPr>
                <w:rFonts w:ascii="方正书宋_GBK" w:eastAsia="方正书宋_GBK" w:hint="eastAsia"/>
              </w:rPr>
              <w:t>岁及以上高血压患者</w:t>
            </w:r>
            <w:r>
              <w:rPr>
                <w:rFonts w:ascii="方正书宋_GBK" w:eastAsia="方正书宋_GBK" w:hint="eastAsia"/>
              </w:rPr>
              <w:lastRenderedPageBreak/>
              <w:t>管理率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40%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35</w:t>
            </w:r>
            <w:r>
              <w:rPr>
                <w:rFonts w:ascii="方正书宋_GBK" w:eastAsia="方正书宋_GBK" w:hint="eastAsia"/>
              </w:rPr>
              <w:t>岁及以上糖尿病患者管理率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老年人健康体检表完整率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居民健康档案规范化电子建档率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、疾病预防控制</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组织落实重大疾病防治规划、国家免疫规划及严重危害人民健康公共卫生问题的干预措施，防止和控制疾病发生和疫情蔓延，组织开展全区爱国卫生工作，加强疫苗冷链保障等疾病预防控制能力建设。</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预防和控制疾病的发生、流动和传播，提高全市人民健康水平。</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适龄儿童国家免疫规划疫苗接种率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严重精神障碍患者在册管理率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管理人群血压、血糖控制率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、突发公共卫生事件应急处置</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负责全区卫生应急体系和能力建设，指导和协调突发公共卫生事件的预防准备、监测预警、处置救援、总结评估等工作。</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提高突发公共卫生事件的应急处置能力，有效应对突发公共卫生事件，保障人民群众健康和生命安全。</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突发公共事件卫生应急处置率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96%</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94%</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94%</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突发公共卫生事件信息报告率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97%</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97%</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突发公共卫生事件报告及时率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突发公共卫</w:t>
            </w:r>
            <w:r>
              <w:rPr>
                <w:rFonts w:ascii="方正书宋_GBK" w:eastAsia="方正书宋_GBK" w:hint="eastAsia"/>
              </w:rPr>
              <w:lastRenderedPageBreak/>
              <w:t>生事件应急任务完成率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60%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4</w:t>
            </w:r>
            <w:r>
              <w:rPr>
                <w:rFonts w:ascii="方正书宋_GBK" w:eastAsia="方正书宋_GBK" w:hint="eastAsia"/>
                <w:b/>
              </w:rPr>
              <w:t>、妇幼健康服务</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落实中央妇幼健康服务项目，开展母婴保健、辅助生殖技术管理、妇幼保健机构评审、妇女儿童常见病和多发病防治、出生缺陷综合防治、出生医学证明等母婴保健法律证件管理等各项工作。</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提高妇女儿童健康水平和出生人口素质。</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产前筛查率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孕产妇住院分娩率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96%</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94%</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94%</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孕产妇死亡率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15/10</w:t>
            </w:r>
            <w:r>
              <w:rPr>
                <w:rFonts w:ascii="方正书宋_GBK" w:eastAsia="方正书宋_GBK" w:hint="eastAsia"/>
              </w:rPr>
              <w:t>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16/10</w:t>
            </w:r>
            <w:r>
              <w:rPr>
                <w:rFonts w:ascii="方正书宋_GBK" w:eastAsia="方正书宋_GBK" w:hint="eastAsia"/>
              </w:rPr>
              <w:t>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17/10</w:t>
            </w:r>
            <w:r>
              <w:rPr>
                <w:rFonts w:ascii="方正书宋_GBK" w:eastAsia="方正书宋_GBK" w:hint="eastAsia"/>
              </w:rPr>
              <w:t>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17/10</w:t>
            </w:r>
            <w:r>
              <w:rPr>
                <w:rFonts w:ascii="方正书宋_GBK" w:eastAsia="方正书宋_GBK" w:hint="eastAsia"/>
              </w:rPr>
              <w:t>万</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、医疗救助</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针对不同类型的疾病提供预防、检查、诊断、治疗和康复等各类医疗活动，开展医疗惠民工程，满足各类患者的医疗服务需求。</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、基层综合医改</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组织实施基本药物制度，巩固完善基层医改补偿和运行新机制。</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二十三、计划生育</w:t>
            </w:r>
          </w:p>
        </w:tc>
        <w:tc>
          <w:tcPr>
            <w:tcW w:w="12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335.00</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坚持计划生育基本国策，调整完善生育政策，提供各类计划生育技术服务，建立计划生育利益导向机制，开展出生人口性别比治理以及流动人口计划生育管理等各项工作。</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保持适度的低生育水平，有效保障计划生育家庭生活水平，提高妇女生殖健康水平，降低出生缺陷的发生，有效遏制出生人口性别比偏高问题。</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、计划生育家庭发展与利益导向机制建设</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通过实施国家奖扶、特扶制度，以及新家庭计划、全面创建幸福家庭等工作，全面提高计划生育家庭的发展能力。</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有效引导群众自觉实行计划生育，加强计划生育家庭的发展能力，提高计划生育家庭的凝聚力及成员幸福感。</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计划生育家庭特别扶助政策落实率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农村部分计划生育家庭奖励扶助政</w:t>
            </w:r>
            <w:r>
              <w:rPr>
                <w:rFonts w:ascii="方正书宋_GBK" w:eastAsia="方正书宋_GBK" w:hint="eastAsia"/>
              </w:rPr>
              <w:lastRenderedPageBreak/>
              <w:t>策落实率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家庭满意度</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非常满意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满意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一般</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不满意</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、计划生育群众工作</w:t>
            </w:r>
          </w:p>
        </w:tc>
        <w:tc>
          <w:tcPr>
            <w:tcW w:w="12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222.00</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协助政府开展计划生育群众自治、亲情关爱及幸福工程等工作，动员广大群众自觉参与和实行各项计划生育政策。</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增进广大育龄群众和计生家庭福祉，提高群众自觉实行计划生育的积极性。</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计划生育基层群众自治整体推进示范县建设完成率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cs"/>
              </w:rPr>
              <w:t>“</w:t>
            </w:r>
            <w:r>
              <w:rPr>
                <w:rFonts w:ascii="方正书宋_GBK" w:eastAsia="方正书宋_GBK" w:hint="eastAsia"/>
              </w:rPr>
              <w:t>亲情关爱</w:t>
            </w:r>
            <w:r>
              <w:rPr>
                <w:rFonts w:ascii="方正书宋_GBK" w:eastAsia="方正书宋_GBK" w:hint="cs"/>
              </w:rPr>
              <w:t>”</w:t>
            </w:r>
            <w:r>
              <w:rPr>
                <w:rFonts w:ascii="方正书宋_GBK" w:eastAsia="方正书宋_GBK" w:hint="eastAsia"/>
              </w:rPr>
              <w:t>帮扶档案建立完成率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计划生育基层群众自治村（居）覆盖率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村规民约乡级审查备案制度落实率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试点地区失独家庭</w:t>
            </w:r>
            <w:r>
              <w:rPr>
                <w:rFonts w:ascii="方正书宋_GBK" w:eastAsia="方正书宋_GBK" w:hint="cs"/>
              </w:rPr>
              <w:t>“</w:t>
            </w:r>
            <w:r>
              <w:rPr>
                <w:rFonts w:ascii="方正书宋_GBK" w:eastAsia="方正书宋_GBK" w:hint="eastAsia"/>
              </w:rPr>
              <w:t>亲情关爱</w:t>
            </w:r>
            <w:r>
              <w:rPr>
                <w:rFonts w:ascii="方正书宋_GBK" w:eastAsia="方正书宋_GBK" w:hint="cs"/>
              </w:rPr>
              <w:t>”</w:t>
            </w:r>
            <w:r>
              <w:rPr>
                <w:rFonts w:ascii="方正书宋_GBK" w:eastAsia="方正书宋_GBK" w:hint="eastAsia"/>
              </w:rPr>
              <w:t>帮扶覆盖率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、计划生育指导与管理</w:t>
            </w:r>
          </w:p>
        </w:tc>
        <w:tc>
          <w:tcPr>
            <w:tcW w:w="12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113.00</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不断调整完善我省计划生育政策，改革完善计划生育目标责任制度，做好出生人口性别比治理工作，加强流动人口计划生育管理，提升基层基础计划生育队伍服务水平。</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保持适度的低生育水平，有效遏制我市出生人口性别比偏高的严峻形势，逐步扩大流动人口卫生计生基本公共服务均等化覆盖面，提高各地计划生育依法行政能力，提高各类人群计划生育服务满意度，促进社</w:t>
            </w:r>
            <w:r>
              <w:rPr>
                <w:rFonts w:ascii="方正书宋_GBK" w:eastAsia="方正书宋_GBK" w:hint="eastAsia"/>
              </w:rPr>
              <w:lastRenderedPageBreak/>
              <w:t>会和谐发展。</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lastRenderedPageBreak/>
              <w:t>计划生育责任目标奖励政策落实率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cs"/>
              </w:rPr>
              <w:t>——</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cs"/>
              </w:rPr>
              <w:t>——</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出生人口性别比</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112</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113</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114</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114</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计划生育重点工作任务</w:t>
            </w:r>
            <w:r>
              <w:rPr>
                <w:rFonts w:ascii="方正书宋_GBK" w:eastAsia="方正书宋_GBK" w:hint="eastAsia"/>
              </w:rPr>
              <w:lastRenderedPageBreak/>
              <w:t>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流动人口计划生育服务满意率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二十四、中医药</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开展中医药专科建设、中医药人才培养、中医药研究室建设、中医药信息化建设、中医药文化推广等各项工作，满足各类人民群众享受民族医药服务的需求。</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加强中医药能力建设，提高中医药人员服务水平，有效发挥中医药在医疗保健领域的特色优势。</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、中医药服务能力建设</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培育和建设具有明显中医特色的重点专科和研究室，加强中医医疗机构信息化建设，创建标准化中医医疗机构。</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提高中医药服务水平和救治能力，改善群众接受中医药服务的软硬件环境。</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标准化县级中医医院创建符合率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基层医疗卫生机构中医诊疗量比重</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中医药健康管理服务目标人群覆盖率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村卫生室中医药服务能力覆盖率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基层医疗卫生机构中医药服务能力覆盖率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、中医药人才队伍和科研能力建设</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培养具有扎实中医药理论功底和较强辩证施治能力的中医临</w:t>
            </w:r>
            <w:r>
              <w:rPr>
                <w:rFonts w:ascii="方正书宋_GBK" w:eastAsia="方正书宋_GBK" w:hint="eastAsia"/>
              </w:rPr>
              <w:lastRenderedPageBreak/>
              <w:t>床技术人员，面向基层医疗机构推广中医药适宜技术。</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lastRenderedPageBreak/>
              <w:t>提高各级各类中医药人才的施治能力。</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中医药重点研究室建设</w:t>
            </w:r>
            <w:r>
              <w:rPr>
                <w:rFonts w:ascii="方正书宋_GBK" w:eastAsia="方正书宋_GBK" w:hint="eastAsia"/>
              </w:rPr>
              <w:lastRenderedPageBreak/>
              <w:t>任务完成率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中医药重点专科建设任务完成率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优秀中医临床人才培养任务完成率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、中医药推广及文化宣传</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构建中医药核心价值体系，开展中医药文化传播与知识普及。</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提升人民群众中医养生保健素养和健康水准。</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中医药文化示范医院创建任务完成率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基层医疗卫生机构</w:t>
            </w:r>
            <w:r>
              <w:rPr>
                <w:rFonts w:ascii="方正书宋_GBK" w:eastAsia="方正书宋_GBK" w:hint="cs"/>
              </w:rPr>
              <w:t>“</w:t>
            </w:r>
            <w:r>
              <w:rPr>
                <w:rFonts w:ascii="方正书宋_GBK" w:eastAsia="方正书宋_GBK" w:hint="eastAsia"/>
              </w:rPr>
              <w:t>国医堂</w:t>
            </w:r>
            <w:r>
              <w:rPr>
                <w:rFonts w:ascii="方正书宋_GBK" w:eastAsia="方正书宋_GBK" w:hint="cs"/>
              </w:rPr>
              <w:t>”</w:t>
            </w:r>
            <w:r>
              <w:rPr>
                <w:rFonts w:ascii="方正书宋_GBK" w:eastAsia="方正书宋_GBK" w:hint="eastAsia"/>
              </w:rPr>
              <w:t>建设覆盖率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中医药文化宣传任务完成率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中医药知识推广普及任务完成率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基层中医药工作先进单位中医药政策知晓率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、计划生育奖励扶持政策</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采取奖励、扶助、社会保障等机制，引导家庭和个人打取计划生育措施，提高计划生育家庭发展能力。</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2</w:t>
            </w:r>
            <w:r>
              <w:rPr>
                <w:rFonts w:ascii="方正书宋_GBK" w:eastAsia="方正书宋_GBK" w:hint="eastAsia"/>
                <w:b/>
              </w:rPr>
              <w:t>、出生人口性别比治理</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做好出生人口性别比治理工作的组织领导、宣传倡导、利益导向、全程服务、严查</w:t>
            </w:r>
            <w:r>
              <w:rPr>
                <w:rFonts w:ascii="方正书宋_GBK" w:eastAsia="方正书宋_GBK" w:hint="cs"/>
              </w:rPr>
              <w:t>“</w:t>
            </w:r>
            <w:r>
              <w:rPr>
                <w:rFonts w:ascii="方正书宋_GBK" w:eastAsia="方正书宋_GBK" w:hint="eastAsia"/>
              </w:rPr>
              <w:t>两非</w:t>
            </w:r>
            <w:r>
              <w:rPr>
                <w:rFonts w:ascii="方正书宋_GBK" w:eastAsia="方正书宋_GBK" w:hint="cs"/>
              </w:rPr>
              <w:t>”</w:t>
            </w:r>
            <w:r>
              <w:rPr>
                <w:rFonts w:ascii="方正书宋_GBK" w:eastAsia="方正书宋_GBK" w:hint="eastAsia"/>
              </w:rPr>
              <w:t>、统计监测、考核评估等重点工作。</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、计划生育群众工作</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协助政府开展群众自治、亲情关爱及幸福工程等工作，动员广大群众自觉参与和实行各项计划生育政策。</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、综合业务管理</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开展计生规划、统计、法制、政策研究、宣传教育，监督政策落实等各项综合业务工作。</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、综合事务管理</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建设一批高素质卫生计生人才队伍，培育一批卫生计生重点专科，开展卫生计生机构信息化、基础设施、装备配置等各项工作。</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二十五、卫生计生政务</w:t>
            </w:r>
          </w:p>
        </w:tc>
        <w:tc>
          <w:tcPr>
            <w:tcW w:w="12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529.20</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拟定卫生计生改革与发展目标、规划，组织指导相关工作开展，承担政务公开和业务宣传工作，加强卫生计生能力建设。</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保障卫生计生事业稳定发展。</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、卫生计生综合业务管理</w:t>
            </w:r>
          </w:p>
        </w:tc>
        <w:tc>
          <w:tcPr>
            <w:tcW w:w="12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376.60</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开展卫生计生规划、资源配置、统计、法制、政策研究、宣传教育、舆情监测等各项综合业务工作，推进京津冀医疗卫生协同发展。</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为顺利开展各项卫生计生工作提供有效保障，确保卫生计生事业协调可持续发展。</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医改及计划生育责任目标考核任务完成率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卫生计生综合宣传任务完成率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政务信息及时公开情况</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及时有效公开</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cs"/>
              </w:rPr>
              <w:t>——</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cs"/>
              </w:rPr>
              <w:t>——</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未及时有效公开</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、卫生计生综合事务管理</w:t>
            </w:r>
          </w:p>
        </w:tc>
        <w:tc>
          <w:tcPr>
            <w:tcW w:w="12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152.60</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开展卫生计生信息化、基础设施、装备管理与配置等各项工作。</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提高我区卫生计生系统软硬件服务能力。</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基础设施维修改造任务完成率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基层医疗卫生机构信息化系统覆盖率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安全生产事件有效防范性</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是</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cs"/>
              </w:rPr>
              <w:t>——</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cs"/>
              </w:rPr>
              <w:t>——</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否</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卫生计生信访事件稳定率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卫生计生系统软硬件服务能力提升情况</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是</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cs"/>
              </w:rPr>
              <w:t>——</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cs"/>
              </w:rPr>
              <w:t>——</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否</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、卫生计生综合监督</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监督指导卫生计生相关法律法规落实情况，督办重大卫生计生违法案件，指导和规范卫生计生人员执法行为，坚持计划生育目标管理责任制，监督落实计划生育一票否决制。</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保障卫生计生法律法规的落实，提升卫生计生工作规范化和法制化水平，保障人民群众卫生计生权益。</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职业卫生技术人员考核率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综合监督信息数据上报率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卫生计生监督覆盖率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lastRenderedPageBreak/>
              <w:t>二十六、医疗卫生</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以医疗技术为基本服务手段，通过各级各类医疗机构，向广大人民群众提供的医疗、预防、保健等服务。</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提高医疗机构的疾病救治能力，强化基层医疗卫生机构综合改革，满足各类人民群众的医疗服务需求。</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、医养结合</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统筹各方资源，通过多种措施，构建覆盖城乡、规模适宜、功能合理、综合连续的医养结合服务网络。</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不断提高全市医养结合工作水平，满足群众多层次、多样化的健康养老需求</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养老机构医疗卫生服务提供率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医疗机构老年人绿色通道开设率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65</w:t>
            </w:r>
            <w:r>
              <w:rPr>
                <w:rFonts w:ascii="方正书宋_GBK" w:eastAsia="方正书宋_GBK" w:hint="eastAsia"/>
              </w:rPr>
              <w:t>岁以上老年人健康管理率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医养结合机制体制建设任务完成率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医养结合重点任务完成率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医养结合工作满意率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、人道救助</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向社会大力募集资金，建立专项救助基金。面向困难群体开展符合其宗旨的人道救助工作，重点救助患病儿童及困难群众。</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建立专项救助基金，使更多的贫困家庭、患病儿童得到救助。</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救助对象满意度</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、综合业务管理</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做好教育政策制定、教育改革、教育科研、教育信息化建设等工作。</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2</w:t>
            </w:r>
            <w:r>
              <w:rPr>
                <w:rFonts w:ascii="方正书宋_GBK" w:eastAsia="方正书宋_GBK" w:hint="eastAsia"/>
                <w:b/>
              </w:rPr>
              <w:t>、综合事物管理</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做好会议培训组织，内部信息化建设与维护，财务和资产管理，标准化建设，基础设施维修，大型设备购置，人事、党务等工作。</w:t>
            </w:r>
          </w:p>
        </w:tc>
        <w:tc>
          <w:tcPr>
            <w:tcW w:w="2976" w:type="dxa"/>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二十七、红十字会事业发展</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认真贯彻执行《中华人民共和国红十字会法》和《中国红十字会章程》，推动红十字各项工作的开展</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加强无偿献血工作；开展红十字青少年活动，广泛宣传《红十字会法》，发展红十字志愿者，不断扩大红十字会影响</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w:t>
            </w:r>
            <w:r>
              <w:rPr>
                <w:rFonts w:ascii="方正书宋_GBK" w:eastAsia="方正书宋_GBK" w:hint="cs"/>
                <w:b/>
              </w:rPr>
              <w:t>“</w:t>
            </w:r>
            <w:r>
              <w:rPr>
                <w:rFonts w:ascii="方正书宋_GBK" w:eastAsia="方正书宋_GBK" w:hint="eastAsia"/>
                <w:b/>
              </w:rPr>
              <w:t>三献</w:t>
            </w:r>
            <w:r>
              <w:rPr>
                <w:rFonts w:ascii="方正书宋_GBK" w:eastAsia="方正书宋_GBK" w:hint="cs"/>
                <w:b/>
              </w:rPr>
              <w:t>”</w:t>
            </w:r>
            <w:r>
              <w:rPr>
                <w:rFonts w:ascii="方正书宋_GBK" w:eastAsia="方正书宋_GBK" w:hint="eastAsia"/>
                <w:b/>
              </w:rPr>
              <w:t>工作</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广泛宣传《红十字会法》和红十字工作</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参与无偿献血宣传，健全遗体和人体器官捐献工作体系。</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宣传《红十字会法》和红十字工作，积极参与国际红十字运动。</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开展人体器官捐献工作</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13</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12</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12</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完成干细胞志愿者捐献</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36</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32</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32</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二十八、学前教育</w:t>
            </w:r>
          </w:p>
        </w:tc>
        <w:tc>
          <w:tcPr>
            <w:tcW w:w="12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30.00</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实施学前教育重点项目，支持和引导市县扩大学前教育资源，缓解当前存在的</w:t>
            </w:r>
            <w:r>
              <w:rPr>
                <w:rFonts w:ascii="方正书宋_GBK" w:eastAsia="方正书宋_GBK" w:hint="cs"/>
              </w:rPr>
              <w:t>“</w:t>
            </w:r>
            <w:r>
              <w:rPr>
                <w:rFonts w:ascii="方正书宋_GBK" w:eastAsia="方正书宋_GBK" w:hint="eastAsia"/>
              </w:rPr>
              <w:t>入园难</w:t>
            </w:r>
            <w:r>
              <w:rPr>
                <w:rFonts w:ascii="方正书宋_GBK" w:eastAsia="方正书宋_GBK" w:hint="cs"/>
              </w:rPr>
              <w:t>”</w:t>
            </w:r>
            <w:r>
              <w:rPr>
                <w:rFonts w:ascii="方正书宋_GBK" w:eastAsia="方正书宋_GBK" w:hint="eastAsia"/>
              </w:rPr>
              <w:t>、</w:t>
            </w:r>
            <w:r>
              <w:rPr>
                <w:rFonts w:ascii="方正书宋_GBK" w:eastAsia="方正书宋_GBK" w:hint="cs"/>
              </w:rPr>
              <w:t>“</w:t>
            </w:r>
            <w:r>
              <w:rPr>
                <w:rFonts w:ascii="方正书宋_GBK" w:eastAsia="方正书宋_GBK" w:hint="eastAsia"/>
              </w:rPr>
              <w:t>入园贵</w:t>
            </w:r>
            <w:r>
              <w:rPr>
                <w:rFonts w:ascii="方正书宋_GBK" w:eastAsia="方正书宋_GBK" w:hint="cs"/>
              </w:rPr>
              <w:t>”</w:t>
            </w:r>
            <w:r>
              <w:rPr>
                <w:rFonts w:ascii="方正书宋_GBK" w:eastAsia="方正书宋_GBK" w:hint="eastAsia"/>
              </w:rPr>
              <w:t>问题。</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调整完善财政支持政策，增强资金配置的科学性，提高幼儿园入园率和扩大在园幼儿数</w:t>
            </w:r>
            <w:r>
              <w:rPr>
                <w:rFonts w:ascii="方正书宋_GBK" w:eastAsia="方正书宋_GBK"/>
              </w:rPr>
              <w:t>,</w:t>
            </w:r>
            <w:r>
              <w:rPr>
                <w:rFonts w:ascii="方正书宋_GBK" w:eastAsia="方正书宋_GBK" w:hint="eastAsia"/>
              </w:rPr>
              <w:t>有效缓解</w:t>
            </w:r>
            <w:r>
              <w:rPr>
                <w:rFonts w:ascii="方正书宋_GBK" w:eastAsia="方正书宋_GBK" w:hint="cs"/>
              </w:rPr>
              <w:t>“</w:t>
            </w:r>
            <w:r>
              <w:rPr>
                <w:rFonts w:ascii="方正书宋_GBK" w:eastAsia="方正书宋_GBK" w:hint="eastAsia"/>
              </w:rPr>
              <w:t>入园难</w:t>
            </w:r>
            <w:r>
              <w:rPr>
                <w:rFonts w:ascii="方正书宋_GBK" w:eastAsia="方正书宋_GBK" w:hint="cs"/>
              </w:rPr>
              <w:t>”</w:t>
            </w:r>
            <w:r>
              <w:rPr>
                <w:rFonts w:ascii="方正书宋_GBK" w:eastAsia="方正书宋_GBK" w:hint="eastAsia"/>
              </w:rPr>
              <w:t>、</w:t>
            </w:r>
            <w:r>
              <w:rPr>
                <w:rFonts w:ascii="方正书宋_GBK" w:eastAsia="方正书宋_GBK" w:hint="cs"/>
              </w:rPr>
              <w:t>“</w:t>
            </w:r>
            <w:r>
              <w:rPr>
                <w:rFonts w:ascii="方正书宋_GBK" w:eastAsia="方正书宋_GBK" w:hint="eastAsia"/>
              </w:rPr>
              <w:t>入园贵</w:t>
            </w:r>
            <w:r>
              <w:rPr>
                <w:rFonts w:ascii="方正书宋_GBK" w:eastAsia="方正书宋_GBK" w:hint="cs"/>
              </w:rPr>
              <w:t>”</w:t>
            </w:r>
            <w:r>
              <w:rPr>
                <w:rFonts w:ascii="方正书宋_GBK" w:eastAsia="方正书宋_GBK" w:hint="eastAsia"/>
              </w:rPr>
              <w:t>等问题。</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、扩大教育资源</w:t>
            </w:r>
          </w:p>
        </w:tc>
        <w:tc>
          <w:tcPr>
            <w:tcW w:w="12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30.00</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通过利用农村闲置校舍改建幼儿园、农村小学增设附属幼儿园、开展学前教育巡回支教试点、实施民办幼儿园综合奖补等方式，支持农村扩大学前教育资源。对家庭经济困难的儿</w:t>
            </w:r>
            <w:r>
              <w:rPr>
                <w:rFonts w:ascii="方正书宋_GBK" w:eastAsia="方正书宋_GBK" w:hint="eastAsia"/>
              </w:rPr>
              <w:lastRenderedPageBreak/>
              <w:t>童以及残疾儿童予以资助。</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lastRenderedPageBreak/>
              <w:t>开展扩大学前教育资源项目，支持扩建和新建公办幼儿园、利用社会力量举办普惠性幼儿园、改善办园条件，落实学前教育资助制度</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在园幼儿数量</w:t>
            </w:r>
            <w:r>
              <w:rPr>
                <w:rFonts w:ascii="方正书宋_GBK" w:eastAsia="方正书宋_GBK"/>
              </w:rPr>
              <w:t>(</w:t>
            </w:r>
            <w:r>
              <w:rPr>
                <w:rFonts w:ascii="方正书宋_GBK" w:eastAsia="方正书宋_GBK" w:hint="eastAsia"/>
              </w:rPr>
              <w:t>人）</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1700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1450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1400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1250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适龄儿童毛入园率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74.7%</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74.3%</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69.3%</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幼儿资助比</w:t>
            </w:r>
            <w:r>
              <w:rPr>
                <w:rFonts w:ascii="方正书宋_GBK" w:eastAsia="方正书宋_GBK" w:hint="eastAsia"/>
              </w:rPr>
              <w:lastRenderedPageBreak/>
              <w:t>例</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2%</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lastRenderedPageBreak/>
              <w:t>1.9%</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1.8%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1.8%</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提高学生家庭幸福生活指标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实现幼儿平等接受学前教育指标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、实施学前教育资助</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对普惠性幼儿园在园的孤儿、烈士子女，优抚、低保家庭子女，纳入农村特困救助范围的家庭子女，父母一方死亡、离异的单亲贫困家庭子女，因受灾、疾病等原因导致家庭经济困难的儿童以及残疾儿童予以资助。</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落实学前教育资助制度</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适龄儿童毛入园率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74.7%</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74.3%</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69.3%</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幼儿资助比例</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1.9%</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1.8%</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提高学生家庭幸福生活指标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二十九、义务教育</w:t>
            </w:r>
          </w:p>
        </w:tc>
        <w:tc>
          <w:tcPr>
            <w:tcW w:w="12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3000.00</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以农村教育为重点，推进义务教育均衡发展，建立中小学校舍安全保障机制，改善薄弱学校办学条件，促进公共教育资源向农村和经济欠发达地区倾斜。</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提高义务教育公用经费保障水平，改善办学条件，均衡配置基础教育资源，缩小城乡、区域、校际之间办学差距，落实学生资助政策。</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、发展农村义务教育</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推进农村义务教育经费保障机制改革，提高农村中小学公用经费水平，完善校舍维修改造长效机制，补助贫困寄宿生活生活费，为农村学生免费提供教科书。</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统一城乡义务教育年生均公用经费标准：小学</w:t>
            </w:r>
            <w:r>
              <w:rPr>
                <w:rFonts w:ascii="方正书宋_GBK" w:eastAsia="方正书宋_GBK"/>
              </w:rPr>
              <w:t>685</w:t>
            </w:r>
            <w:r>
              <w:rPr>
                <w:rFonts w:ascii="方正书宋_GBK" w:eastAsia="方正书宋_GBK" w:hint="eastAsia"/>
              </w:rPr>
              <w:t>元、初中</w:t>
            </w:r>
            <w:r>
              <w:rPr>
                <w:rFonts w:ascii="方正书宋_GBK" w:eastAsia="方正书宋_GBK"/>
              </w:rPr>
              <w:t>885</w:t>
            </w:r>
            <w:r>
              <w:rPr>
                <w:rFonts w:ascii="方正书宋_GBK" w:eastAsia="方正书宋_GBK" w:hint="eastAsia"/>
              </w:rPr>
              <w:t>元（均含取暖费</w:t>
            </w:r>
            <w:r>
              <w:rPr>
                <w:rFonts w:ascii="方正书宋_GBK" w:eastAsia="方正书宋_GBK"/>
              </w:rPr>
              <w:t>85</w:t>
            </w:r>
            <w:r>
              <w:rPr>
                <w:rFonts w:ascii="方正书宋_GBK" w:eastAsia="方正书宋_GBK" w:hint="eastAsia"/>
              </w:rPr>
              <w:t>元），特教</w:t>
            </w:r>
            <w:r>
              <w:rPr>
                <w:rFonts w:ascii="方正书宋_GBK" w:eastAsia="方正书宋_GBK"/>
              </w:rPr>
              <w:t>6000</w:t>
            </w:r>
            <w:r>
              <w:rPr>
                <w:rFonts w:ascii="方正书宋_GBK" w:eastAsia="方正书宋_GBK" w:hint="eastAsia"/>
              </w:rPr>
              <w:t>元。为农村义务教育学生和城市区家庭经济困难学生免费提供教科书。</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小学入学率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87%</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86%</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初中入学率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64%</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63%</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62%</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新建、改扩建、维修校舍面积（万平方米）</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教科书免费发放率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、改善薄弱学校办学条件</w:t>
            </w:r>
          </w:p>
        </w:tc>
        <w:tc>
          <w:tcPr>
            <w:tcW w:w="12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3000.00</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保障义务教育阶段薄弱学校基本教学条件，改善学校生活设施，办好必要的教学点，解决学校大班额问题，推进农村学校教育信息化。</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从</w:t>
            </w:r>
            <w:r>
              <w:rPr>
                <w:rFonts w:ascii="方正书宋_GBK" w:eastAsia="方正书宋_GBK"/>
              </w:rPr>
              <w:t>2014</w:t>
            </w:r>
            <w:r>
              <w:rPr>
                <w:rFonts w:ascii="方正书宋_GBK" w:eastAsia="方正书宋_GBK" w:hint="eastAsia"/>
              </w:rPr>
              <w:t>年开始，全面改善贫困地区薄弱学校基本办学条件，使贫困地区农村义务教育学校教学设施和生活设施满足基本生活需要，留守儿童学习和寄宿得到基本满足，村小学和教学点能够正常运转，城镇超大班额现象基本消除，教师数量、素质、结构基本适应教学需要。</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新建、改扩建中小学校舍面积</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1.2</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1.1</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中小学教学设备、图书购置数量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0.9%</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0.8%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0.8%</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小学生均校舍面积</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小学生均设备价值</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初中生均校舍面积</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8.1</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初中生均设备价值</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951</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三十、普通高中教育</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健全普通高中国家助学金制度，改善普通高中办学件。</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改善贫困地区普通高中办学条件，免除建档立卡的贫困高中学生的学费、住宿费、教课书费。</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、改善普通高中办学条件和学生资助</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提高我省高中毛入学率。改善贫困地区普通高中办学条件，从</w:t>
            </w:r>
            <w:r>
              <w:rPr>
                <w:rFonts w:ascii="方正书宋_GBK" w:eastAsia="方正书宋_GBK"/>
              </w:rPr>
              <w:t>2016</w:t>
            </w:r>
            <w:r>
              <w:rPr>
                <w:rFonts w:ascii="方正书宋_GBK" w:eastAsia="方正书宋_GBK" w:hint="eastAsia"/>
              </w:rPr>
              <w:t>年秋季学期开始，对建档立卡的公办高中贫困学生，实行免学费、免住宿费、免费提供教课书。</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提高我县高中毛入学率。改善贫困地区普通高中办学条件，从</w:t>
            </w:r>
            <w:r>
              <w:rPr>
                <w:rFonts w:ascii="方正书宋_GBK" w:eastAsia="方正书宋_GBK"/>
              </w:rPr>
              <w:t>2016</w:t>
            </w:r>
            <w:r>
              <w:rPr>
                <w:rFonts w:ascii="方正书宋_GBK" w:eastAsia="方正书宋_GBK" w:hint="eastAsia"/>
              </w:rPr>
              <w:t>年秋季学期开始，对建档立卡的公办高中贫困学生，实行免学费、免住宿费、免费提供教课书。</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在校高中生数量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340</w:t>
            </w:r>
            <w:r>
              <w:rPr>
                <w:rFonts w:ascii="方正书宋_GBK" w:eastAsia="方正书宋_GBK" w:hint="eastAsia"/>
              </w:rPr>
              <w:t>人</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335</w:t>
            </w:r>
            <w:r>
              <w:rPr>
                <w:rFonts w:ascii="方正书宋_GBK" w:eastAsia="方正书宋_GBK" w:hint="eastAsia"/>
              </w:rPr>
              <w:t>人</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330</w:t>
            </w:r>
            <w:r>
              <w:rPr>
                <w:rFonts w:ascii="方正书宋_GBK" w:eastAsia="方正书宋_GBK" w:hint="eastAsia"/>
              </w:rPr>
              <w:t>人</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330</w:t>
            </w:r>
            <w:r>
              <w:rPr>
                <w:rFonts w:ascii="方正书宋_GBK" w:eastAsia="方正书宋_GBK" w:hint="eastAsia"/>
              </w:rPr>
              <w:t>人</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cs"/>
              </w:rPr>
              <w:t>“</w:t>
            </w:r>
            <w:r>
              <w:rPr>
                <w:rFonts w:ascii="方正书宋_GBK" w:eastAsia="方正书宋_GBK" w:hint="eastAsia"/>
              </w:rPr>
              <w:t>三免</w:t>
            </w:r>
            <w:r>
              <w:rPr>
                <w:rFonts w:ascii="方正书宋_GBK" w:eastAsia="方正书宋_GBK" w:hint="cs"/>
              </w:rPr>
              <w:t>”</w:t>
            </w:r>
            <w:r>
              <w:rPr>
                <w:rFonts w:ascii="方正书宋_GBK" w:eastAsia="方正书宋_GBK" w:hint="eastAsia"/>
              </w:rPr>
              <w:t>的高中贫困学生数量</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r>
              <w:rPr>
                <w:rFonts w:ascii="方正书宋_GBK" w:eastAsia="方正书宋_GBK" w:hint="eastAsia"/>
              </w:rPr>
              <w:t>人</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45</w:t>
            </w:r>
            <w:r>
              <w:rPr>
                <w:rFonts w:ascii="方正书宋_GBK" w:eastAsia="方正书宋_GBK" w:hint="eastAsia"/>
              </w:rPr>
              <w:t>人</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r>
              <w:rPr>
                <w:rFonts w:ascii="方正书宋_GBK" w:eastAsia="方正书宋_GBK" w:hint="eastAsia"/>
              </w:rPr>
              <w:t>人</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r>
              <w:rPr>
                <w:rFonts w:ascii="方正书宋_GBK" w:eastAsia="方正书宋_GBK" w:hint="eastAsia"/>
              </w:rPr>
              <w:t>人</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高中阶段毛入学率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62%</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61%</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建档立卡的公办高中贫困学生</w:t>
            </w:r>
            <w:r>
              <w:rPr>
                <w:rFonts w:ascii="方正书宋_GBK" w:eastAsia="方正书宋_GBK" w:hint="cs"/>
              </w:rPr>
              <w:t>“</w:t>
            </w:r>
            <w:r>
              <w:rPr>
                <w:rFonts w:ascii="方正书宋_GBK" w:eastAsia="方正书宋_GBK" w:hint="eastAsia"/>
              </w:rPr>
              <w:t>三免</w:t>
            </w:r>
            <w:r>
              <w:rPr>
                <w:rFonts w:ascii="方正书宋_GBK" w:eastAsia="方正书宋_GBK" w:hint="cs"/>
              </w:rPr>
              <w:t>”</w:t>
            </w:r>
            <w:r>
              <w:rPr>
                <w:rFonts w:ascii="方正书宋_GBK" w:eastAsia="方正书宋_GBK" w:hint="eastAsia"/>
              </w:rPr>
              <w:t>覆盖率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三十一、教师队伍建设</w:t>
            </w:r>
          </w:p>
        </w:tc>
        <w:tc>
          <w:tcPr>
            <w:tcW w:w="1276" w:type="dxa"/>
            <w:shd w:val="clear" w:color="auto" w:fill="auto"/>
            <w:noWrap/>
            <w:vAlign w:val="center"/>
          </w:tcPr>
          <w:p w:rsidR="0023060E" w:rsidRDefault="0023060E">
            <w:pPr>
              <w:spacing w:line="300" w:lineRule="exact"/>
              <w:jc w:val="left"/>
              <w:rPr>
                <w:rFonts w:ascii="方正书宋_GBK" w:eastAsia="方正书宋_GBK"/>
              </w:rPr>
            </w:pP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主管全区教师工作；负责全市中小学教师资格标准的实施；统筹规划和指导学校教师及管理人员队伍建设。</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完成中小学骨干、学科教师培训，高层次、优秀人才引进计划，提高特殊群体教师待遇。</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、教师培养与培训</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开展中小学骨干、学科教师等专项培训，完成中小学教师国家级培训计划。</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开展中小学、校长培训，完成中小学、幼儿园教师国家级培训计划。发放原民办代课教师教龄补助。落实集中连片特困地区边远乡村教师生活补助政策。开展三区支教。建立乡村教师荣誉制度。</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培训教师人数</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人</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人</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r>
              <w:rPr>
                <w:rFonts w:ascii="方正书宋_GBK" w:eastAsia="方正书宋_GBK" w:hint="eastAsia"/>
              </w:rPr>
              <w:t>人</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r>
              <w:rPr>
                <w:rFonts w:ascii="方正书宋_GBK" w:eastAsia="方正书宋_GBK" w:hint="eastAsia"/>
              </w:rPr>
              <w:t>人</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资金测算准确率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97%</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参训教师合格率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79%</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、提高特殊群体教师待遇</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为代课教师发放教龄补助。</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为原民办代课教师教龄发放补助。按照年人均</w:t>
            </w:r>
            <w:r>
              <w:rPr>
                <w:rFonts w:ascii="方正书宋_GBK" w:eastAsia="方正书宋_GBK"/>
              </w:rPr>
              <w:t>3000</w:t>
            </w:r>
            <w:r>
              <w:rPr>
                <w:rFonts w:ascii="方正书宋_GBK" w:eastAsia="方正书宋_GBK" w:hint="eastAsia"/>
              </w:rPr>
              <w:t>元标准，发放边远乡村教师生活补助。落实三区支教省级配套资金。对扎根乡村的教师进行表彰。</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资金测算准确率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97%</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参训教师合格率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79%</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资金发放率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99.9%</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99.8%</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99.7%</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三十二、教育政务管理</w:t>
            </w:r>
          </w:p>
        </w:tc>
        <w:tc>
          <w:tcPr>
            <w:tcW w:w="12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3413.00</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负责教育系统综合业务管理和机关综合事务管理。</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依法行政，构建人民群众满意、勤政廉洁的政府部门；保障工作正常高效运行，相关工作顺利开展。</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、综合业务管理</w:t>
            </w:r>
          </w:p>
        </w:tc>
        <w:tc>
          <w:tcPr>
            <w:tcW w:w="1276" w:type="dxa"/>
            <w:vMerge w:val="restart"/>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做好教育政策制定、教育改革、教育科研、教育信息化建设等工作。</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做好各项教育管理工作。</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机关职能执行率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综合业务管</w:t>
            </w:r>
            <w:r>
              <w:rPr>
                <w:rFonts w:ascii="方正书宋_GBK" w:eastAsia="方正书宋_GBK" w:hint="eastAsia"/>
              </w:rPr>
              <w:lastRenderedPageBreak/>
              <w:t>理工作完成率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机关业务对象满意度</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、综合事务管理</w:t>
            </w:r>
          </w:p>
        </w:tc>
        <w:tc>
          <w:tcPr>
            <w:tcW w:w="12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3413.00</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做好会议培训组织，内部信息化建设与维护，财务和资产管理，标准化建设，基础设施维修，大型设备购置，人事、党务等工作。</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保障机关工作正常高效运转。</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局机关正常运转率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综合事务管理工作完成率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机关工作人员满意度</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23060E">
        <w:trPr>
          <w:trHeight w:val="227"/>
          <w:jc w:val="center"/>
        </w:trPr>
        <w:tc>
          <w:tcPr>
            <w:tcW w:w="2341" w:type="dxa"/>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三十三、推进新农村建设</w:t>
            </w:r>
          </w:p>
        </w:tc>
        <w:tc>
          <w:tcPr>
            <w:tcW w:w="12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2805.00</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通过实施农村面貌改造提升行动和开展新民居中心村示范点建设，加快建设社会主义新农村。</w:t>
            </w:r>
          </w:p>
        </w:tc>
        <w:tc>
          <w:tcPr>
            <w:tcW w:w="2976"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通过实施农村面貌改造提升行动和开展新民居中心村示范点建设，加快建设社会主义新农村。改善农村环境面貌，提升农民生产生活条件。</w:t>
            </w:r>
          </w:p>
        </w:tc>
        <w:tc>
          <w:tcPr>
            <w:tcW w:w="1417" w:type="dxa"/>
            <w:shd w:val="clear" w:color="auto" w:fill="auto"/>
            <w:noWrap/>
            <w:vAlign w:val="center"/>
          </w:tcPr>
          <w:p w:rsidR="0023060E" w:rsidRDefault="0023060E">
            <w:pPr>
              <w:spacing w:line="300" w:lineRule="exact"/>
              <w:jc w:val="left"/>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c>
          <w:tcPr>
            <w:tcW w:w="737" w:type="dxa"/>
            <w:shd w:val="clear" w:color="auto" w:fill="auto"/>
            <w:noWrap/>
            <w:vAlign w:val="center"/>
          </w:tcPr>
          <w:p w:rsidR="0023060E" w:rsidRDefault="0023060E">
            <w:pPr>
              <w:spacing w:line="300" w:lineRule="exact"/>
              <w:jc w:val="center"/>
              <w:rPr>
                <w:rFonts w:ascii="方正书宋_GBK" w:eastAsia="方正书宋_GBK"/>
              </w:rPr>
            </w:pPr>
          </w:p>
        </w:tc>
      </w:tr>
      <w:tr w:rsidR="0023060E">
        <w:trPr>
          <w:trHeight w:val="227"/>
          <w:jc w:val="center"/>
        </w:trPr>
        <w:tc>
          <w:tcPr>
            <w:tcW w:w="2341" w:type="dxa"/>
            <w:vMerge w:val="restart"/>
            <w:shd w:val="clear" w:color="auto" w:fill="auto"/>
            <w:noWrap/>
            <w:vAlign w:val="center"/>
          </w:tcPr>
          <w:p w:rsidR="0023060E" w:rsidRDefault="00895E82">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、人居环境整治行动</w:t>
            </w:r>
          </w:p>
        </w:tc>
        <w:tc>
          <w:tcPr>
            <w:tcW w:w="12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2805.00</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充分利用农村闲置农宅，发展农宅合作社，带动农村旅游业发展，促进农民增收。</w:t>
            </w:r>
          </w:p>
        </w:tc>
        <w:tc>
          <w:tcPr>
            <w:tcW w:w="2976" w:type="dxa"/>
            <w:vMerge w:val="restart"/>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到</w:t>
            </w:r>
            <w:r>
              <w:rPr>
                <w:rFonts w:ascii="方正书宋_GBK" w:eastAsia="方正书宋_GBK"/>
              </w:rPr>
              <w:t>2020</w:t>
            </w:r>
            <w:r>
              <w:rPr>
                <w:rFonts w:ascii="方正书宋_GBK" w:eastAsia="方正书宋_GBK" w:hint="eastAsia"/>
              </w:rPr>
              <w:t>年，新区农村人居环境质量全面提升，村庄环境干净整洁有序，长效管护机制基本建立，村民环境与健康意识普遍增强。</w:t>
            </w: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重点村改造提升任务完成率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&lt;90%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人居环境整治行动达标率</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&lt;70%</w:t>
            </w:r>
          </w:p>
        </w:tc>
      </w:tr>
      <w:tr w:rsidR="0023060E">
        <w:trPr>
          <w:trHeight w:val="227"/>
          <w:jc w:val="center"/>
        </w:trPr>
        <w:tc>
          <w:tcPr>
            <w:tcW w:w="2341" w:type="dxa"/>
            <w:vMerge/>
            <w:shd w:val="clear" w:color="auto" w:fill="auto"/>
            <w:noWrap/>
            <w:vAlign w:val="center"/>
          </w:tcPr>
          <w:p w:rsidR="0023060E" w:rsidRDefault="0023060E">
            <w:pPr>
              <w:spacing w:line="300" w:lineRule="exact"/>
              <w:jc w:val="left"/>
              <w:rPr>
                <w:rFonts w:ascii="方正书宋_GBK" w:eastAsia="方正书宋_GBK"/>
                <w:b/>
              </w:rPr>
            </w:pPr>
          </w:p>
        </w:tc>
        <w:tc>
          <w:tcPr>
            <w:tcW w:w="12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2976" w:type="dxa"/>
            <w:vMerge/>
            <w:shd w:val="clear" w:color="auto" w:fill="auto"/>
            <w:noWrap/>
            <w:vAlign w:val="center"/>
          </w:tcPr>
          <w:p w:rsidR="0023060E" w:rsidRDefault="0023060E">
            <w:pPr>
              <w:spacing w:line="300" w:lineRule="exact"/>
              <w:jc w:val="left"/>
              <w:rPr>
                <w:rFonts w:ascii="方正书宋_GBK" w:eastAsia="方正书宋_GBK"/>
              </w:rPr>
            </w:pPr>
          </w:p>
        </w:tc>
        <w:tc>
          <w:tcPr>
            <w:tcW w:w="141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群众满意度</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noWrap/>
            <w:vAlign w:val="center"/>
          </w:tcPr>
          <w:p w:rsidR="0023060E" w:rsidRDefault="00895E82">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bl>
    <w:p w:rsidR="0023060E" w:rsidRDefault="0023060E">
      <w:pPr>
        <w:spacing w:line="300" w:lineRule="exact"/>
        <w:jc w:val="left"/>
        <w:outlineLvl w:val="0"/>
        <w:sectPr w:rsidR="0023060E">
          <w:type w:val="continuous"/>
          <w:pgSz w:w="16839" w:h="11907" w:orient="landscape"/>
          <w:pgMar w:top="1020" w:right="1361" w:bottom="1020" w:left="1361" w:header="851" w:footer="992" w:gutter="0"/>
          <w:cols w:space="425"/>
          <w:docGrid w:type="lines" w:linePitch="312"/>
        </w:sectPr>
      </w:pPr>
    </w:p>
    <w:p w:rsidR="0023060E" w:rsidRDefault="00895E82">
      <w:pPr>
        <w:ind w:firstLineChars="200" w:firstLine="640"/>
        <w:rPr>
          <w:rFonts w:ascii="Times New Roman" w:eastAsia="方正仿宋_GBK" w:hAnsi="Times New Roman" w:cs="Times New Roman"/>
          <w:sz w:val="32"/>
          <w:szCs w:val="24"/>
        </w:rPr>
      </w:pPr>
      <w:r>
        <w:rPr>
          <w:rFonts w:ascii="Times New Roman" w:eastAsia="黑体" w:hAnsi="Times New Roman" w:cs="Times New Roman"/>
          <w:sz w:val="32"/>
          <w:szCs w:val="32"/>
        </w:rPr>
        <w:lastRenderedPageBreak/>
        <w:t>六、政府采购预算情况</w:t>
      </w:r>
    </w:p>
    <w:p w:rsidR="0023060E" w:rsidRDefault="00895E82">
      <w:pPr>
        <w:ind w:firstLine="640"/>
        <w:jc w:val="left"/>
        <w:rPr>
          <w:rFonts w:ascii="Times New Roman" w:eastAsia="方正仿宋简体" w:hAnsi="Times New Roman" w:cs="Times New Roman"/>
          <w:sz w:val="32"/>
          <w:szCs w:val="24"/>
        </w:rPr>
      </w:pPr>
      <w:r>
        <w:rPr>
          <w:rFonts w:ascii="Times New Roman" w:eastAsia="方正仿宋简体" w:hAnsi="Times New Roman" w:cs="Times New Roman"/>
          <w:sz w:val="32"/>
          <w:szCs w:val="24"/>
        </w:rPr>
        <w:t>201</w:t>
      </w:r>
      <w:r>
        <w:rPr>
          <w:rFonts w:ascii="Times New Roman" w:eastAsia="方正仿宋简体" w:hAnsi="Times New Roman" w:cs="Times New Roman" w:hint="eastAsia"/>
          <w:sz w:val="32"/>
          <w:szCs w:val="24"/>
        </w:rPr>
        <w:t>9</w:t>
      </w:r>
      <w:r>
        <w:rPr>
          <w:rFonts w:ascii="Times New Roman" w:eastAsia="方正仿宋简体" w:hAnsi="Times New Roman" w:cs="Times New Roman"/>
          <w:sz w:val="32"/>
          <w:szCs w:val="24"/>
        </w:rPr>
        <w:t>年政府采购预算</w:t>
      </w:r>
      <w:r>
        <w:rPr>
          <w:rFonts w:ascii="Times New Roman" w:eastAsia="方正仿宋简体" w:hAnsi="Times New Roman" w:cs="Times New Roman" w:hint="eastAsia"/>
          <w:sz w:val="32"/>
          <w:szCs w:val="24"/>
        </w:rPr>
        <w:t>3294.5</w:t>
      </w:r>
      <w:r>
        <w:rPr>
          <w:rFonts w:ascii="Times New Roman" w:eastAsia="方正仿宋简体" w:hAnsi="Times New Roman" w:cs="Times New Roman"/>
          <w:sz w:val="32"/>
          <w:szCs w:val="24"/>
        </w:rPr>
        <w:t>万元</w:t>
      </w:r>
      <w:r>
        <w:rPr>
          <w:rFonts w:ascii="Times New Roman" w:eastAsia="方正仿宋简体" w:hAnsi="Times New Roman" w:cs="Times New Roman" w:hint="eastAsia"/>
          <w:sz w:val="32"/>
          <w:szCs w:val="24"/>
        </w:rPr>
        <w:t>，政府采购预算具体内容见下表。</w:t>
      </w:r>
    </w:p>
    <w:p w:rsidR="0023060E" w:rsidRDefault="00895E82">
      <w:pPr>
        <w:jc w:val="center"/>
        <w:rPr>
          <w:rFonts w:ascii="方正小标宋_GBK" w:eastAsia="方正小标宋_GBK"/>
          <w:sz w:val="32"/>
        </w:rPr>
      </w:pPr>
      <w:r>
        <w:rPr>
          <w:rFonts w:ascii="方正小标宋_GBK" w:eastAsia="方正小标宋_GBK" w:hint="eastAsia"/>
          <w:sz w:val="32"/>
        </w:rPr>
        <w:t>部门政府采购预算</w:t>
      </w:r>
    </w:p>
    <w:tbl>
      <w:tblPr>
        <w:tblW w:w="14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24"/>
        <w:gridCol w:w="1075"/>
        <w:gridCol w:w="950"/>
        <w:gridCol w:w="1161"/>
        <w:gridCol w:w="737"/>
        <w:gridCol w:w="737"/>
        <w:gridCol w:w="951"/>
        <w:gridCol w:w="957"/>
        <w:gridCol w:w="957"/>
        <w:gridCol w:w="957"/>
        <w:gridCol w:w="881"/>
        <w:gridCol w:w="941"/>
        <w:gridCol w:w="941"/>
        <w:gridCol w:w="899"/>
      </w:tblGrid>
      <w:tr w:rsidR="0023060E">
        <w:trPr>
          <w:tblHeader/>
          <w:jc w:val="center"/>
        </w:trPr>
        <w:tc>
          <w:tcPr>
            <w:tcW w:w="8035" w:type="dxa"/>
            <w:gridSpan w:val="7"/>
            <w:tcBorders>
              <w:top w:val="single" w:sz="6" w:space="0" w:color="FFFFFF"/>
              <w:left w:val="single" w:sz="6" w:space="0" w:color="FFFFFF"/>
              <w:right w:val="single" w:sz="6" w:space="0" w:color="FFFFFF"/>
            </w:tcBorders>
            <w:shd w:val="clear" w:color="auto" w:fill="auto"/>
            <w:noWrap/>
            <w:vAlign w:val="center"/>
          </w:tcPr>
          <w:p w:rsidR="0023060E" w:rsidRDefault="00895E82">
            <w:pPr>
              <w:spacing w:line="300" w:lineRule="exact"/>
              <w:jc w:val="left"/>
              <w:rPr>
                <w:rFonts w:ascii="方正小标宋_GBK" w:eastAsia="方正小标宋_GBK"/>
                <w:sz w:val="24"/>
              </w:rPr>
            </w:pPr>
            <w:r>
              <w:rPr>
                <w:rFonts w:ascii="方正小标宋_GBK" w:eastAsia="方正小标宋_GBK"/>
                <w:sz w:val="24"/>
              </w:rPr>
              <w:t>314</w:t>
            </w:r>
            <w:r>
              <w:rPr>
                <w:rFonts w:ascii="方正小标宋_GBK" w:eastAsia="方正小标宋_GBK" w:hint="eastAsia"/>
                <w:sz w:val="24"/>
              </w:rPr>
              <w:t>秦皇岛北戴河新区社会发展局</w:t>
            </w:r>
          </w:p>
        </w:tc>
        <w:tc>
          <w:tcPr>
            <w:tcW w:w="6533" w:type="dxa"/>
            <w:gridSpan w:val="7"/>
            <w:tcBorders>
              <w:top w:val="single" w:sz="6" w:space="0" w:color="FFFFFF"/>
              <w:left w:val="single" w:sz="6" w:space="0" w:color="FFFFFF"/>
              <w:right w:val="single" w:sz="6" w:space="0" w:color="FFFFFF"/>
            </w:tcBorders>
            <w:shd w:val="clear" w:color="auto" w:fill="auto"/>
            <w:noWrap/>
            <w:vAlign w:val="center"/>
          </w:tcPr>
          <w:p w:rsidR="0023060E" w:rsidRDefault="00895E82">
            <w:pPr>
              <w:spacing w:line="300" w:lineRule="exact"/>
              <w:jc w:val="right"/>
              <w:rPr>
                <w:rFonts w:ascii="方正书宋_GBK" w:eastAsia="方正书宋_GBK"/>
                <w:sz w:val="24"/>
              </w:rPr>
            </w:pPr>
            <w:r>
              <w:rPr>
                <w:rFonts w:ascii="方正书宋_GBK" w:eastAsia="方正书宋_GBK" w:hint="eastAsia"/>
                <w:sz w:val="24"/>
              </w:rPr>
              <w:t>单位：万元</w:t>
            </w:r>
          </w:p>
        </w:tc>
      </w:tr>
      <w:tr w:rsidR="0023060E">
        <w:trPr>
          <w:tblHeader/>
          <w:jc w:val="center"/>
        </w:trPr>
        <w:tc>
          <w:tcPr>
            <w:tcW w:w="3499" w:type="dxa"/>
            <w:gridSpan w:val="2"/>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政府采购项目来源</w:t>
            </w:r>
          </w:p>
        </w:tc>
        <w:tc>
          <w:tcPr>
            <w:tcW w:w="950" w:type="dxa"/>
            <w:vMerge w:val="restart"/>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采购物品名称</w:t>
            </w:r>
          </w:p>
        </w:tc>
        <w:tc>
          <w:tcPr>
            <w:tcW w:w="1161" w:type="dxa"/>
            <w:vMerge w:val="restart"/>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政府采购目录序号</w:t>
            </w:r>
          </w:p>
        </w:tc>
        <w:tc>
          <w:tcPr>
            <w:tcW w:w="737" w:type="dxa"/>
            <w:vMerge w:val="restart"/>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数量单位</w:t>
            </w:r>
          </w:p>
        </w:tc>
        <w:tc>
          <w:tcPr>
            <w:tcW w:w="737" w:type="dxa"/>
            <w:vMerge w:val="restart"/>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数量</w:t>
            </w:r>
          </w:p>
        </w:tc>
        <w:tc>
          <w:tcPr>
            <w:tcW w:w="951" w:type="dxa"/>
            <w:vMerge w:val="restart"/>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单价</w:t>
            </w:r>
          </w:p>
        </w:tc>
        <w:tc>
          <w:tcPr>
            <w:tcW w:w="6533" w:type="dxa"/>
            <w:gridSpan w:val="7"/>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政府采购金额</w:t>
            </w:r>
          </w:p>
        </w:tc>
      </w:tr>
      <w:tr w:rsidR="0023060E">
        <w:trPr>
          <w:tblHeader/>
          <w:jc w:val="center"/>
        </w:trPr>
        <w:tc>
          <w:tcPr>
            <w:tcW w:w="2424" w:type="dxa"/>
            <w:vMerge w:val="restart"/>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项目名称</w:t>
            </w:r>
          </w:p>
        </w:tc>
        <w:tc>
          <w:tcPr>
            <w:tcW w:w="1075" w:type="dxa"/>
            <w:vMerge w:val="restart"/>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预算资金</w:t>
            </w:r>
          </w:p>
        </w:tc>
        <w:tc>
          <w:tcPr>
            <w:tcW w:w="950" w:type="dxa"/>
            <w:vMerge/>
            <w:shd w:val="clear" w:color="auto" w:fill="auto"/>
            <w:noWrap/>
            <w:vAlign w:val="center"/>
          </w:tcPr>
          <w:p w:rsidR="0023060E" w:rsidRDefault="0023060E">
            <w:pPr>
              <w:spacing w:line="300" w:lineRule="exact"/>
              <w:jc w:val="left"/>
              <w:outlineLvl w:val="0"/>
            </w:pPr>
          </w:p>
        </w:tc>
        <w:tc>
          <w:tcPr>
            <w:tcW w:w="1161" w:type="dxa"/>
            <w:vMerge/>
            <w:shd w:val="clear" w:color="auto" w:fill="auto"/>
            <w:noWrap/>
            <w:vAlign w:val="center"/>
          </w:tcPr>
          <w:p w:rsidR="0023060E" w:rsidRDefault="0023060E">
            <w:pPr>
              <w:spacing w:line="300" w:lineRule="exact"/>
              <w:jc w:val="left"/>
              <w:outlineLvl w:val="0"/>
            </w:pPr>
          </w:p>
        </w:tc>
        <w:tc>
          <w:tcPr>
            <w:tcW w:w="737" w:type="dxa"/>
            <w:vMerge/>
            <w:shd w:val="clear" w:color="auto" w:fill="auto"/>
            <w:noWrap/>
            <w:vAlign w:val="center"/>
          </w:tcPr>
          <w:p w:rsidR="0023060E" w:rsidRDefault="0023060E">
            <w:pPr>
              <w:spacing w:line="300" w:lineRule="exact"/>
              <w:jc w:val="left"/>
              <w:outlineLvl w:val="0"/>
            </w:pPr>
          </w:p>
        </w:tc>
        <w:tc>
          <w:tcPr>
            <w:tcW w:w="737" w:type="dxa"/>
            <w:vMerge/>
            <w:shd w:val="clear" w:color="auto" w:fill="auto"/>
            <w:noWrap/>
            <w:vAlign w:val="center"/>
          </w:tcPr>
          <w:p w:rsidR="0023060E" w:rsidRDefault="0023060E">
            <w:pPr>
              <w:spacing w:line="300" w:lineRule="exact"/>
              <w:jc w:val="left"/>
              <w:outlineLvl w:val="0"/>
            </w:pPr>
          </w:p>
        </w:tc>
        <w:tc>
          <w:tcPr>
            <w:tcW w:w="951" w:type="dxa"/>
            <w:vMerge/>
            <w:shd w:val="clear" w:color="auto" w:fill="auto"/>
            <w:noWrap/>
            <w:vAlign w:val="center"/>
          </w:tcPr>
          <w:p w:rsidR="0023060E" w:rsidRDefault="0023060E">
            <w:pPr>
              <w:spacing w:line="300" w:lineRule="exact"/>
              <w:jc w:val="left"/>
              <w:outlineLvl w:val="0"/>
            </w:pPr>
          </w:p>
        </w:tc>
        <w:tc>
          <w:tcPr>
            <w:tcW w:w="957" w:type="dxa"/>
            <w:vMerge w:val="restart"/>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总计</w:t>
            </w:r>
          </w:p>
        </w:tc>
        <w:tc>
          <w:tcPr>
            <w:tcW w:w="4677" w:type="dxa"/>
            <w:gridSpan w:val="5"/>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当年部门预算安排资金</w:t>
            </w:r>
          </w:p>
        </w:tc>
        <w:tc>
          <w:tcPr>
            <w:tcW w:w="899" w:type="dxa"/>
            <w:vMerge w:val="restart"/>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其他渠道资金</w:t>
            </w:r>
          </w:p>
        </w:tc>
      </w:tr>
      <w:tr w:rsidR="0023060E">
        <w:trPr>
          <w:tblHeader/>
          <w:jc w:val="center"/>
        </w:trPr>
        <w:tc>
          <w:tcPr>
            <w:tcW w:w="2424" w:type="dxa"/>
            <w:vMerge/>
            <w:shd w:val="clear" w:color="auto" w:fill="auto"/>
            <w:noWrap/>
            <w:vAlign w:val="center"/>
          </w:tcPr>
          <w:p w:rsidR="0023060E" w:rsidRDefault="0023060E">
            <w:pPr>
              <w:spacing w:line="300" w:lineRule="exact"/>
              <w:jc w:val="left"/>
              <w:outlineLvl w:val="0"/>
            </w:pPr>
          </w:p>
        </w:tc>
        <w:tc>
          <w:tcPr>
            <w:tcW w:w="1075" w:type="dxa"/>
            <w:vMerge/>
            <w:shd w:val="clear" w:color="auto" w:fill="auto"/>
            <w:noWrap/>
            <w:vAlign w:val="center"/>
          </w:tcPr>
          <w:p w:rsidR="0023060E" w:rsidRDefault="0023060E">
            <w:pPr>
              <w:spacing w:line="300" w:lineRule="exact"/>
              <w:jc w:val="left"/>
              <w:outlineLvl w:val="0"/>
            </w:pPr>
          </w:p>
        </w:tc>
        <w:tc>
          <w:tcPr>
            <w:tcW w:w="950" w:type="dxa"/>
            <w:vMerge/>
            <w:shd w:val="clear" w:color="auto" w:fill="auto"/>
            <w:noWrap/>
            <w:vAlign w:val="center"/>
          </w:tcPr>
          <w:p w:rsidR="0023060E" w:rsidRDefault="0023060E">
            <w:pPr>
              <w:spacing w:line="300" w:lineRule="exact"/>
              <w:jc w:val="left"/>
              <w:outlineLvl w:val="0"/>
            </w:pPr>
          </w:p>
        </w:tc>
        <w:tc>
          <w:tcPr>
            <w:tcW w:w="1161" w:type="dxa"/>
            <w:vMerge/>
            <w:shd w:val="clear" w:color="auto" w:fill="auto"/>
            <w:noWrap/>
            <w:vAlign w:val="center"/>
          </w:tcPr>
          <w:p w:rsidR="0023060E" w:rsidRDefault="0023060E">
            <w:pPr>
              <w:spacing w:line="300" w:lineRule="exact"/>
              <w:jc w:val="left"/>
              <w:outlineLvl w:val="0"/>
            </w:pPr>
          </w:p>
        </w:tc>
        <w:tc>
          <w:tcPr>
            <w:tcW w:w="737" w:type="dxa"/>
            <w:vMerge/>
            <w:shd w:val="clear" w:color="auto" w:fill="auto"/>
            <w:noWrap/>
            <w:vAlign w:val="center"/>
          </w:tcPr>
          <w:p w:rsidR="0023060E" w:rsidRDefault="0023060E">
            <w:pPr>
              <w:spacing w:line="300" w:lineRule="exact"/>
              <w:jc w:val="left"/>
              <w:outlineLvl w:val="0"/>
            </w:pPr>
          </w:p>
        </w:tc>
        <w:tc>
          <w:tcPr>
            <w:tcW w:w="737" w:type="dxa"/>
            <w:vMerge/>
            <w:shd w:val="clear" w:color="auto" w:fill="auto"/>
            <w:noWrap/>
            <w:vAlign w:val="center"/>
          </w:tcPr>
          <w:p w:rsidR="0023060E" w:rsidRDefault="0023060E">
            <w:pPr>
              <w:spacing w:line="300" w:lineRule="exact"/>
              <w:jc w:val="left"/>
              <w:outlineLvl w:val="0"/>
            </w:pPr>
          </w:p>
        </w:tc>
        <w:tc>
          <w:tcPr>
            <w:tcW w:w="951" w:type="dxa"/>
            <w:vMerge/>
            <w:shd w:val="clear" w:color="auto" w:fill="auto"/>
            <w:noWrap/>
            <w:vAlign w:val="center"/>
          </w:tcPr>
          <w:p w:rsidR="0023060E" w:rsidRDefault="0023060E">
            <w:pPr>
              <w:spacing w:line="300" w:lineRule="exact"/>
              <w:jc w:val="left"/>
              <w:outlineLvl w:val="0"/>
            </w:pPr>
          </w:p>
        </w:tc>
        <w:tc>
          <w:tcPr>
            <w:tcW w:w="957" w:type="dxa"/>
            <w:vMerge/>
            <w:shd w:val="clear" w:color="auto" w:fill="auto"/>
            <w:noWrap/>
            <w:vAlign w:val="center"/>
          </w:tcPr>
          <w:p w:rsidR="0023060E" w:rsidRDefault="0023060E">
            <w:pPr>
              <w:spacing w:line="300" w:lineRule="exact"/>
              <w:jc w:val="left"/>
              <w:outlineLvl w:val="0"/>
            </w:pPr>
          </w:p>
        </w:tc>
        <w:tc>
          <w:tcPr>
            <w:tcW w:w="957" w:type="dxa"/>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合计</w:t>
            </w:r>
          </w:p>
        </w:tc>
        <w:tc>
          <w:tcPr>
            <w:tcW w:w="957" w:type="dxa"/>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一般公共预算拨款</w:t>
            </w:r>
          </w:p>
        </w:tc>
        <w:tc>
          <w:tcPr>
            <w:tcW w:w="881" w:type="dxa"/>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基金预算拨款</w:t>
            </w:r>
          </w:p>
        </w:tc>
        <w:tc>
          <w:tcPr>
            <w:tcW w:w="941" w:type="dxa"/>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财政专户核拨</w:t>
            </w:r>
          </w:p>
        </w:tc>
        <w:tc>
          <w:tcPr>
            <w:tcW w:w="941" w:type="dxa"/>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其他来源收入</w:t>
            </w:r>
          </w:p>
        </w:tc>
        <w:tc>
          <w:tcPr>
            <w:tcW w:w="899" w:type="dxa"/>
            <w:vMerge/>
            <w:shd w:val="clear" w:color="auto" w:fill="auto"/>
            <w:noWrap/>
            <w:vAlign w:val="center"/>
          </w:tcPr>
          <w:p w:rsidR="0023060E" w:rsidRDefault="0023060E">
            <w:pPr>
              <w:spacing w:line="300" w:lineRule="exact"/>
              <w:jc w:val="left"/>
              <w:outlineLvl w:val="0"/>
            </w:pPr>
          </w:p>
        </w:tc>
      </w:tr>
      <w:tr w:rsidR="0023060E">
        <w:trPr>
          <w:jc w:val="center"/>
        </w:trPr>
        <w:tc>
          <w:tcPr>
            <w:tcW w:w="2424" w:type="dxa"/>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合　计</w:t>
            </w:r>
          </w:p>
        </w:tc>
        <w:tc>
          <w:tcPr>
            <w:tcW w:w="1075" w:type="dxa"/>
            <w:shd w:val="clear" w:color="auto" w:fill="auto"/>
            <w:noWrap/>
            <w:vAlign w:val="center"/>
          </w:tcPr>
          <w:p w:rsidR="0023060E" w:rsidRDefault="0023060E">
            <w:pPr>
              <w:spacing w:line="300" w:lineRule="exact"/>
              <w:jc w:val="right"/>
              <w:rPr>
                <w:rFonts w:ascii="方正书宋_GBK" w:eastAsia="方正书宋_GBK"/>
                <w:b/>
              </w:rPr>
            </w:pPr>
          </w:p>
        </w:tc>
        <w:tc>
          <w:tcPr>
            <w:tcW w:w="950" w:type="dxa"/>
            <w:shd w:val="clear" w:color="auto" w:fill="auto"/>
            <w:noWrap/>
            <w:vAlign w:val="center"/>
          </w:tcPr>
          <w:p w:rsidR="0023060E" w:rsidRDefault="0023060E">
            <w:pPr>
              <w:spacing w:line="300" w:lineRule="exact"/>
              <w:jc w:val="left"/>
              <w:rPr>
                <w:rFonts w:ascii="方正书宋_GBK" w:eastAsia="方正书宋_GBK"/>
                <w:b/>
              </w:rPr>
            </w:pPr>
          </w:p>
        </w:tc>
        <w:tc>
          <w:tcPr>
            <w:tcW w:w="1161" w:type="dxa"/>
            <w:shd w:val="clear" w:color="auto" w:fill="auto"/>
            <w:noWrap/>
            <w:vAlign w:val="center"/>
          </w:tcPr>
          <w:p w:rsidR="0023060E" w:rsidRDefault="0023060E">
            <w:pPr>
              <w:spacing w:line="300" w:lineRule="exact"/>
              <w:jc w:val="left"/>
              <w:rPr>
                <w:rFonts w:ascii="方正书宋_GBK" w:eastAsia="方正书宋_GBK"/>
                <w:b/>
              </w:rPr>
            </w:pPr>
          </w:p>
        </w:tc>
        <w:tc>
          <w:tcPr>
            <w:tcW w:w="737" w:type="dxa"/>
            <w:shd w:val="clear" w:color="auto" w:fill="auto"/>
            <w:noWrap/>
            <w:vAlign w:val="center"/>
          </w:tcPr>
          <w:p w:rsidR="0023060E" w:rsidRDefault="0023060E">
            <w:pPr>
              <w:spacing w:line="300" w:lineRule="exact"/>
              <w:jc w:val="left"/>
              <w:rPr>
                <w:rFonts w:ascii="方正书宋_GBK" w:eastAsia="方正书宋_GBK"/>
                <w:b/>
              </w:rPr>
            </w:pPr>
          </w:p>
        </w:tc>
        <w:tc>
          <w:tcPr>
            <w:tcW w:w="737" w:type="dxa"/>
            <w:shd w:val="clear" w:color="auto" w:fill="auto"/>
            <w:noWrap/>
            <w:vAlign w:val="center"/>
          </w:tcPr>
          <w:p w:rsidR="0023060E" w:rsidRDefault="0023060E">
            <w:pPr>
              <w:spacing w:line="300" w:lineRule="exact"/>
              <w:jc w:val="right"/>
              <w:rPr>
                <w:rFonts w:ascii="方正书宋_GBK" w:eastAsia="方正书宋_GBK"/>
                <w:b/>
              </w:rPr>
            </w:pPr>
          </w:p>
        </w:tc>
        <w:tc>
          <w:tcPr>
            <w:tcW w:w="951" w:type="dxa"/>
            <w:shd w:val="clear" w:color="auto" w:fill="auto"/>
            <w:noWrap/>
            <w:vAlign w:val="center"/>
          </w:tcPr>
          <w:p w:rsidR="0023060E" w:rsidRDefault="0023060E">
            <w:pPr>
              <w:spacing w:line="300" w:lineRule="exact"/>
              <w:jc w:val="right"/>
              <w:rPr>
                <w:rFonts w:ascii="方正书宋_GBK" w:eastAsia="方正书宋_GBK"/>
                <w:b/>
              </w:rPr>
            </w:pPr>
          </w:p>
        </w:tc>
        <w:tc>
          <w:tcPr>
            <w:tcW w:w="957" w:type="dxa"/>
            <w:shd w:val="clear" w:color="auto" w:fill="auto"/>
            <w:noWrap/>
            <w:vAlign w:val="center"/>
          </w:tcPr>
          <w:p w:rsidR="0023060E" w:rsidRDefault="00895E82">
            <w:pPr>
              <w:spacing w:line="300" w:lineRule="exact"/>
              <w:jc w:val="right"/>
              <w:rPr>
                <w:rFonts w:ascii="方正书宋_GBK" w:eastAsia="方正书宋_GBK"/>
                <w:b/>
              </w:rPr>
            </w:pPr>
            <w:r>
              <w:rPr>
                <w:rFonts w:ascii="方正书宋_GBK" w:eastAsia="方正书宋_GBK"/>
                <w:b/>
              </w:rPr>
              <w:t>3294.50</w:t>
            </w:r>
          </w:p>
        </w:tc>
        <w:tc>
          <w:tcPr>
            <w:tcW w:w="957" w:type="dxa"/>
            <w:shd w:val="clear" w:color="auto" w:fill="auto"/>
            <w:noWrap/>
            <w:vAlign w:val="center"/>
          </w:tcPr>
          <w:p w:rsidR="0023060E" w:rsidRDefault="00895E82">
            <w:pPr>
              <w:spacing w:line="300" w:lineRule="exact"/>
              <w:jc w:val="right"/>
              <w:rPr>
                <w:rFonts w:ascii="方正书宋_GBK" w:eastAsia="方正书宋_GBK"/>
                <w:b/>
              </w:rPr>
            </w:pPr>
            <w:r>
              <w:rPr>
                <w:rFonts w:ascii="方正书宋_GBK" w:eastAsia="方正书宋_GBK"/>
                <w:b/>
              </w:rPr>
              <w:t>3294.50</w:t>
            </w:r>
          </w:p>
        </w:tc>
        <w:tc>
          <w:tcPr>
            <w:tcW w:w="957" w:type="dxa"/>
            <w:shd w:val="clear" w:color="auto" w:fill="auto"/>
            <w:noWrap/>
            <w:vAlign w:val="center"/>
          </w:tcPr>
          <w:p w:rsidR="0023060E" w:rsidRDefault="00895E82">
            <w:pPr>
              <w:spacing w:line="300" w:lineRule="exact"/>
              <w:jc w:val="right"/>
              <w:rPr>
                <w:rFonts w:ascii="方正书宋_GBK" w:eastAsia="方正书宋_GBK"/>
                <w:b/>
              </w:rPr>
            </w:pPr>
            <w:r>
              <w:rPr>
                <w:rFonts w:ascii="方正书宋_GBK" w:eastAsia="方正书宋_GBK"/>
                <w:b/>
              </w:rPr>
              <w:t>3294.50</w:t>
            </w:r>
          </w:p>
        </w:tc>
        <w:tc>
          <w:tcPr>
            <w:tcW w:w="881" w:type="dxa"/>
            <w:shd w:val="clear" w:color="auto" w:fill="auto"/>
            <w:noWrap/>
            <w:vAlign w:val="center"/>
          </w:tcPr>
          <w:p w:rsidR="0023060E" w:rsidRDefault="0023060E">
            <w:pPr>
              <w:spacing w:line="300" w:lineRule="exact"/>
              <w:jc w:val="right"/>
              <w:rPr>
                <w:rFonts w:ascii="方正书宋_GBK" w:eastAsia="方正书宋_GBK"/>
                <w:b/>
              </w:rPr>
            </w:pPr>
          </w:p>
        </w:tc>
        <w:tc>
          <w:tcPr>
            <w:tcW w:w="941" w:type="dxa"/>
            <w:shd w:val="clear" w:color="auto" w:fill="auto"/>
            <w:noWrap/>
            <w:vAlign w:val="center"/>
          </w:tcPr>
          <w:p w:rsidR="0023060E" w:rsidRDefault="0023060E">
            <w:pPr>
              <w:spacing w:line="300" w:lineRule="exact"/>
              <w:jc w:val="right"/>
              <w:rPr>
                <w:rFonts w:ascii="方正书宋_GBK" w:eastAsia="方正书宋_GBK"/>
                <w:b/>
              </w:rPr>
            </w:pPr>
          </w:p>
        </w:tc>
        <w:tc>
          <w:tcPr>
            <w:tcW w:w="941" w:type="dxa"/>
            <w:shd w:val="clear" w:color="auto" w:fill="auto"/>
            <w:noWrap/>
            <w:vAlign w:val="center"/>
          </w:tcPr>
          <w:p w:rsidR="0023060E" w:rsidRDefault="0023060E">
            <w:pPr>
              <w:spacing w:line="300" w:lineRule="exact"/>
              <w:jc w:val="right"/>
              <w:rPr>
                <w:rFonts w:ascii="方正书宋_GBK" w:eastAsia="方正书宋_GBK"/>
                <w:b/>
              </w:rPr>
            </w:pPr>
          </w:p>
        </w:tc>
        <w:tc>
          <w:tcPr>
            <w:tcW w:w="899" w:type="dxa"/>
            <w:shd w:val="clear" w:color="auto" w:fill="auto"/>
            <w:noWrap/>
            <w:vAlign w:val="center"/>
          </w:tcPr>
          <w:p w:rsidR="0023060E" w:rsidRDefault="0023060E">
            <w:pPr>
              <w:spacing w:line="300" w:lineRule="exact"/>
              <w:jc w:val="right"/>
              <w:rPr>
                <w:rFonts w:ascii="方正书宋_GBK" w:eastAsia="方正书宋_GBK"/>
                <w:b/>
              </w:rPr>
            </w:pPr>
          </w:p>
        </w:tc>
      </w:tr>
      <w:tr w:rsidR="0023060E">
        <w:trPr>
          <w:jc w:val="center"/>
        </w:trPr>
        <w:tc>
          <w:tcPr>
            <w:tcW w:w="2424" w:type="dxa"/>
            <w:shd w:val="clear" w:color="auto" w:fill="auto"/>
            <w:noWrap/>
            <w:vAlign w:val="center"/>
          </w:tcPr>
          <w:p w:rsidR="0023060E" w:rsidRDefault="00895E82">
            <w:pPr>
              <w:spacing w:line="300" w:lineRule="exact"/>
              <w:jc w:val="center"/>
              <w:rPr>
                <w:rFonts w:ascii="方正书宋_GBK" w:eastAsia="方正书宋_GBK"/>
                <w:b/>
              </w:rPr>
            </w:pPr>
            <w:r>
              <w:rPr>
                <w:rFonts w:ascii="方正书宋_GBK" w:eastAsia="方正书宋_GBK" w:hint="eastAsia"/>
                <w:b/>
              </w:rPr>
              <w:t>秦皇岛北戴河新区社会发展局小计</w:t>
            </w:r>
          </w:p>
        </w:tc>
        <w:tc>
          <w:tcPr>
            <w:tcW w:w="1075" w:type="dxa"/>
            <w:shd w:val="clear" w:color="auto" w:fill="auto"/>
            <w:noWrap/>
            <w:vAlign w:val="center"/>
          </w:tcPr>
          <w:p w:rsidR="0023060E" w:rsidRDefault="0023060E">
            <w:pPr>
              <w:spacing w:line="300" w:lineRule="exact"/>
              <w:jc w:val="right"/>
              <w:rPr>
                <w:rFonts w:ascii="方正书宋_GBK" w:eastAsia="方正书宋_GBK"/>
                <w:b/>
              </w:rPr>
            </w:pPr>
          </w:p>
        </w:tc>
        <w:tc>
          <w:tcPr>
            <w:tcW w:w="950" w:type="dxa"/>
            <w:shd w:val="clear" w:color="auto" w:fill="auto"/>
            <w:noWrap/>
            <w:vAlign w:val="center"/>
          </w:tcPr>
          <w:p w:rsidR="0023060E" w:rsidRDefault="0023060E">
            <w:pPr>
              <w:spacing w:line="300" w:lineRule="exact"/>
              <w:jc w:val="left"/>
              <w:rPr>
                <w:rFonts w:ascii="方正书宋_GBK" w:eastAsia="方正书宋_GBK"/>
                <w:b/>
              </w:rPr>
            </w:pPr>
          </w:p>
        </w:tc>
        <w:tc>
          <w:tcPr>
            <w:tcW w:w="1161" w:type="dxa"/>
            <w:shd w:val="clear" w:color="auto" w:fill="auto"/>
            <w:noWrap/>
            <w:vAlign w:val="center"/>
          </w:tcPr>
          <w:p w:rsidR="0023060E" w:rsidRDefault="0023060E">
            <w:pPr>
              <w:spacing w:line="300" w:lineRule="exact"/>
              <w:jc w:val="left"/>
              <w:rPr>
                <w:rFonts w:ascii="方正书宋_GBK" w:eastAsia="方正书宋_GBK"/>
                <w:b/>
              </w:rPr>
            </w:pPr>
          </w:p>
        </w:tc>
        <w:tc>
          <w:tcPr>
            <w:tcW w:w="737" w:type="dxa"/>
            <w:shd w:val="clear" w:color="auto" w:fill="auto"/>
            <w:noWrap/>
            <w:vAlign w:val="center"/>
          </w:tcPr>
          <w:p w:rsidR="0023060E" w:rsidRDefault="0023060E">
            <w:pPr>
              <w:spacing w:line="300" w:lineRule="exact"/>
              <w:jc w:val="left"/>
              <w:rPr>
                <w:rFonts w:ascii="方正书宋_GBK" w:eastAsia="方正书宋_GBK"/>
                <w:b/>
              </w:rPr>
            </w:pPr>
          </w:p>
        </w:tc>
        <w:tc>
          <w:tcPr>
            <w:tcW w:w="737" w:type="dxa"/>
            <w:shd w:val="clear" w:color="auto" w:fill="auto"/>
            <w:noWrap/>
            <w:vAlign w:val="center"/>
          </w:tcPr>
          <w:p w:rsidR="0023060E" w:rsidRDefault="0023060E">
            <w:pPr>
              <w:spacing w:line="300" w:lineRule="exact"/>
              <w:jc w:val="right"/>
              <w:rPr>
                <w:rFonts w:ascii="方正书宋_GBK" w:eastAsia="方正书宋_GBK"/>
                <w:b/>
              </w:rPr>
            </w:pPr>
          </w:p>
        </w:tc>
        <w:tc>
          <w:tcPr>
            <w:tcW w:w="951" w:type="dxa"/>
            <w:shd w:val="clear" w:color="auto" w:fill="auto"/>
            <w:noWrap/>
            <w:vAlign w:val="center"/>
          </w:tcPr>
          <w:p w:rsidR="0023060E" w:rsidRDefault="0023060E">
            <w:pPr>
              <w:spacing w:line="300" w:lineRule="exact"/>
              <w:jc w:val="right"/>
              <w:rPr>
                <w:rFonts w:ascii="方正书宋_GBK" w:eastAsia="方正书宋_GBK"/>
                <w:b/>
              </w:rPr>
            </w:pPr>
          </w:p>
        </w:tc>
        <w:tc>
          <w:tcPr>
            <w:tcW w:w="957" w:type="dxa"/>
            <w:shd w:val="clear" w:color="auto" w:fill="auto"/>
            <w:noWrap/>
            <w:vAlign w:val="center"/>
          </w:tcPr>
          <w:p w:rsidR="0023060E" w:rsidRDefault="00895E82">
            <w:pPr>
              <w:spacing w:line="300" w:lineRule="exact"/>
              <w:jc w:val="right"/>
              <w:rPr>
                <w:rFonts w:ascii="方正书宋_GBK" w:eastAsia="方正书宋_GBK"/>
                <w:b/>
              </w:rPr>
            </w:pPr>
            <w:r>
              <w:rPr>
                <w:rFonts w:ascii="方正书宋_GBK" w:eastAsia="方正书宋_GBK"/>
                <w:b/>
              </w:rPr>
              <w:t>3294.50</w:t>
            </w:r>
          </w:p>
        </w:tc>
        <w:tc>
          <w:tcPr>
            <w:tcW w:w="957" w:type="dxa"/>
            <w:shd w:val="clear" w:color="auto" w:fill="auto"/>
            <w:noWrap/>
            <w:vAlign w:val="center"/>
          </w:tcPr>
          <w:p w:rsidR="0023060E" w:rsidRDefault="00895E82">
            <w:pPr>
              <w:spacing w:line="300" w:lineRule="exact"/>
              <w:jc w:val="right"/>
              <w:rPr>
                <w:rFonts w:ascii="方正书宋_GBK" w:eastAsia="方正书宋_GBK"/>
                <w:b/>
              </w:rPr>
            </w:pPr>
            <w:r>
              <w:rPr>
                <w:rFonts w:ascii="方正书宋_GBK" w:eastAsia="方正书宋_GBK"/>
                <w:b/>
              </w:rPr>
              <w:t>3294.50</w:t>
            </w:r>
          </w:p>
        </w:tc>
        <w:tc>
          <w:tcPr>
            <w:tcW w:w="957" w:type="dxa"/>
            <w:shd w:val="clear" w:color="auto" w:fill="auto"/>
            <w:noWrap/>
            <w:vAlign w:val="center"/>
          </w:tcPr>
          <w:p w:rsidR="0023060E" w:rsidRDefault="00895E82">
            <w:pPr>
              <w:spacing w:line="300" w:lineRule="exact"/>
              <w:jc w:val="right"/>
              <w:rPr>
                <w:rFonts w:ascii="方正书宋_GBK" w:eastAsia="方正书宋_GBK"/>
                <w:b/>
              </w:rPr>
            </w:pPr>
            <w:r>
              <w:rPr>
                <w:rFonts w:ascii="方正书宋_GBK" w:eastAsia="方正书宋_GBK"/>
                <w:b/>
              </w:rPr>
              <w:t>3294.50</w:t>
            </w:r>
          </w:p>
        </w:tc>
        <w:tc>
          <w:tcPr>
            <w:tcW w:w="881" w:type="dxa"/>
            <w:shd w:val="clear" w:color="auto" w:fill="auto"/>
            <w:noWrap/>
            <w:vAlign w:val="center"/>
          </w:tcPr>
          <w:p w:rsidR="0023060E" w:rsidRDefault="0023060E">
            <w:pPr>
              <w:spacing w:line="300" w:lineRule="exact"/>
              <w:jc w:val="right"/>
              <w:rPr>
                <w:rFonts w:ascii="方正书宋_GBK" w:eastAsia="方正书宋_GBK"/>
                <w:b/>
              </w:rPr>
            </w:pPr>
          </w:p>
        </w:tc>
        <w:tc>
          <w:tcPr>
            <w:tcW w:w="941" w:type="dxa"/>
            <w:shd w:val="clear" w:color="auto" w:fill="auto"/>
            <w:noWrap/>
            <w:vAlign w:val="center"/>
          </w:tcPr>
          <w:p w:rsidR="0023060E" w:rsidRDefault="0023060E">
            <w:pPr>
              <w:spacing w:line="300" w:lineRule="exact"/>
              <w:jc w:val="right"/>
              <w:rPr>
                <w:rFonts w:ascii="方正书宋_GBK" w:eastAsia="方正书宋_GBK"/>
                <w:b/>
              </w:rPr>
            </w:pPr>
          </w:p>
        </w:tc>
        <w:tc>
          <w:tcPr>
            <w:tcW w:w="941" w:type="dxa"/>
            <w:shd w:val="clear" w:color="auto" w:fill="auto"/>
            <w:noWrap/>
            <w:vAlign w:val="center"/>
          </w:tcPr>
          <w:p w:rsidR="0023060E" w:rsidRDefault="0023060E">
            <w:pPr>
              <w:spacing w:line="300" w:lineRule="exact"/>
              <w:jc w:val="right"/>
              <w:rPr>
                <w:rFonts w:ascii="方正书宋_GBK" w:eastAsia="方正书宋_GBK"/>
                <w:b/>
              </w:rPr>
            </w:pPr>
          </w:p>
        </w:tc>
        <w:tc>
          <w:tcPr>
            <w:tcW w:w="899" w:type="dxa"/>
            <w:shd w:val="clear" w:color="auto" w:fill="auto"/>
            <w:noWrap/>
            <w:vAlign w:val="center"/>
          </w:tcPr>
          <w:p w:rsidR="0023060E" w:rsidRDefault="0023060E">
            <w:pPr>
              <w:spacing w:line="300" w:lineRule="exact"/>
              <w:jc w:val="right"/>
              <w:rPr>
                <w:rFonts w:ascii="方正书宋_GBK" w:eastAsia="方正书宋_GBK"/>
                <w:b/>
              </w:rPr>
            </w:pPr>
          </w:p>
        </w:tc>
      </w:tr>
      <w:tr w:rsidR="0023060E">
        <w:trPr>
          <w:jc w:val="center"/>
        </w:trPr>
        <w:tc>
          <w:tcPr>
            <w:tcW w:w="2424"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学校安保经费</w:t>
            </w:r>
          </w:p>
        </w:tc>
        <w:tc>
          <w:tcPr>
            <w:tcW w:w="1075"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230.00</w:t>
            </w:r>
          </w:p>
        </w:tc>
        <w:tc>
          <w:tcPr>
            <w:tcW w:w="950"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服务</w:t>
            </w:r>
          </w:p>
        </w:tc>
        <w:tc>
          <w:tcPr>
            <w:tcW w:w="1161"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C</w:t>
            </w:r>
          </w:p>
        </w:tc>
        <w:tc>
          <w:tcPr>
            <w:tcW w:w="73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笔</w:t>
            </w:r>
          </w:p>
        </w:tc>
        <w:tc>
          <w:tcPr>
            <w:tcW w:w="73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1.00</w:t>
            </w:r>
          </w:p>
        </w:tc>
        <w:tc>
          <w:tcPr>
            <w:tcW w:w="951"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230.00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230.00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230.00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230.00</w:t>
            </w:r>
          </w:p>
        </w:tc>
        <w:tc>
          <w:tcPr>
            <w:tcW w:w="881" w:type="dxa"/>
            <w:shd w:val="clear" w:color="auto" w:fill="auto"/>
            <w:noWrap/>
            <w:vAlign w:val="center"/>
          </w:tcPr>
          <w:p w:rsidR="0023060E" w:rsidRDefault="0023060E">
            <w:pPr>
              <w:spacing w:line="300" w:lineRule="exact"/>
              <w:jc w:val="right"/>
              <w:rPr>
                <w:rFonts w:ascii="方正书宋_GBK" w:eastAsia="方正书宋_GBK"/>
              </w:rPr>
            </w:pPr>
          </w:p>
        </w:tc>
        <w:tc>
          <w:tcPr>
            <w:tcW w:w="941" w:type="dxa"/>
            <w:shd w:val="clear" w:color="auto" w:fill="auto"/>
            <w:noWrap/>
            <w:vAlign w:val="center"/>
          </w:tcPr>
          <w:p w:rsidR="0023060E" w:rsidRDefault="0023060E">
            <w:pPr>
              <w:spacing w:line="300" w:lineRule="exact"/>
              <w:jc w:val="right"/>
              <w:rPr>
                <w:rFonts w:ascii="方正书宋_GBK" w:eastAsia="方正书宋_GBK"/>
              </w:rPr>
            </w:pPr>
          </w:p>
        </w:tc>
        <w:tc>
          <w:tcPr>
            <w:tcW w:w="941" w:type="dxa"/>
            <w:shd w:val="clear" w:color="auto" w:fill="auto"/>
            <w:noWrap/>
            <w:vAlign w:val="center"/>
          </w:tcPr>
          <w:p w:rsidR="0023060E" w:rsidRDefault="0023060E">
            <w:pPr>
              <w:spacing w:line="300" w:lineRule="exact"/>
              <w:jc w:val="right"/>
              <w:rPr>
                <w:rFonts w:ascii="方正书宋_GBK" w:eastAsia="方正书宋_GBK"/>
              </w:rPr>
            </w:pPr>
          </w:p>
        </w:tc>
        <w:tc>
          <w:tcPr>
            <w:tcW w:w="899" w:type="dxa"/>
            <w:shd w:val="clear" w:color="auto" w:fill="auto"/>
            <w:noWrap/>
            <w:vAlign w:val="center"/>
          </w:tcPr>
          <w:p w:rsidR="0023060E" w:rsidRDefault="0023060E">
            <w:pPr>
              <w:spacing w:line="300" w:lineRule="exact"/>
              <w:jc w:val="right"/>
              <w:rPr>
                <w:rFonts w:ascii="方正书宋_GBK" w:eastAsia="方正书宋_GBK"/>
              </w:rPr>
            </w:pPr>
          </w:p>
        </w:tc>
      </w:tr>
      <w:tr w:rsidR="0023060E">
        <w:trPr>
          <w:jc w:val="center"/>
        </w:trPr>
        <w:tc>
          <w:tcPr>
            <w:tcW w:w="2424"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教育事务管理经费（含培训、督导、语言、文字等）</w:t>
            </w:r>
          </w:p>
        </w:tc>
        <w:tc>
          <w:tcPr>
            <w:tcW w:w="1075"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40.00</w:t>
            </w:r>
          </w:p>
        </w:tc>
        <w:tc>
          <w:tcPr>
            <w:tcW w:w="950"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计算机设备</w:t>
            </w:r>
          </w:p>
        </w:tc>
        <w:tc>
          <w:tcPr>
            <w:tcW w:w="1161"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A020101</w:t>
            </w:r>
          </w:p>
        </w:tc>
        <w:tc>
          <w:tcPr>
            <w:tcW w:w="73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台</w:t>
            </w:r>
          </w:p>
        </w:tc>
        <w:tc>
          <w:tcPr>
            <w:tcW w:w="73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1.00</w:t>
            </w:r>
          </w:p>
        </w:tc>
        <w:tc>
          <w:tcPr>
            <w:tcW w:w="951"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0.50</w:t>
            </w:r>
          </w:p>
        </w:tc>
        <w:tc>
          <w:tcPr>
            <w:tcW w:w="881" w:type="dxa"/>
            <w:shd w:val="clear" w:color="auto" w:fill="auto"/>
            <w:noWrap/>
            <w:vAlign w:val="center"/>
          </w:tcPr>
          <w:p w:rsidR="0023060E" w:rsidRDefault="0023060E">
            <w:pPr>
              <w:spacing w:line="300" w:lineRule="exact"/>
              <w:jc w:val="right"/>
              <w:rPr>
                <w:rFonts w:ascii="方正书宋_GBK" w:eastAsia="方正书宋_GBK"/>
              </w:rPr>
            </w:pPr>
          </w:p>
        </w:tc>
        <w:tc>
          <w:tcPr>
            <w:tcW w:w="941" w:type="dxa"/>
            <w:shd w:val="clear" w:color="auto" w:fill="auto"/>
            <w:noWrap/>
            <w:vAlign w:val="center"/>
          </w:tcPr>
          <w:p w:rsidR="0023060E" w:rsidRDefault="0023060E">
            <w:pPr>
              <w:spacing w:line="300" w:lineRule="exact"/>
              <w:jc w:val="right"/>
              <w:rPr>
                <w:rFonts w:ascii="方正书宋_GBK" w:eastAsia="方正书宋_GBK"/>
              </w:rPr>
            </w:pPr>
          </w:p>
        </w:tc>
        <w:tc>
          <w:tcPr>
            <w:tcW w:w="941" w:type="dxa"/>
            <w:shd w:val="clear" w:color="auto" w:fill="auto"/>
            <w:noWrap/>
            <w:vAlign w:val="center"/>
          </w:tcPr>
          <w:p w:rsidR="0023060E" w:rsidRDefault="0023060E">
            <w:pPr>
              <w:spacing w:line="300" w:lineRule="exact"/>
              <w:jc w:val="right"/>
              <w:rPr>
                <w:rFonts w:ascii="方正书宋_GBK" w:eastAsia="方正书宋_GBK"/>
              </w:rPr>
            </w:pPr>
          </w:p>
        </w:tc>
        <w:tc>
          <w:tcPr>
            <w:tcW w:w="899" w:type="dxa"/>
            <w:shd w:val="clear" w:color="auto" w:fill="auto"/>
            <w:noWrap/>
            <w:vAlign w:val="center"/>
          </w:tcPr>
          <w:p w:rsidR="0023060E" w:rsidRDefault="0023060E">
            <w:pPr>
              <w:spacing w:line="300" w:lineRule="exact"/>
              <w:jc w:val="right"/>
              <w:rPr>
                <w:rFonts w:ascii="方正书宋_GBK" w:eastAsia="方正书宋_GBK"/>
              </w:rPr>
            </w:pPr>
          </w:p>
        </w:tc>
      </w:tr>
      <w:tr w:rsidR="0023060E">
        <w:trPr>
          <w:jc w:val="center"/>
        </w:trPr>
        <w:tc>
          <w:tcPr>
            <w:tcW w:w="2424"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教育事务管理经费（含培训、督导、语言、文字等）</w:t>
            </w:r>
          </w:p>
        </w:tc>
        <w:tc>
          <w:tcPr>
            <w:tcW w:w="1075"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40.00</w:t>
            </w:r>
          </w:p>
        </w:tc>
        <w:tc>
          <w:tcPr>
            <w:tcW w:w="950"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多功能一体机</w:t>
            </w:r>
          </w:p>
        </w:tc>
        <w:tc>
          <w:tcPr>
            <w:tcW w:w="1161"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A020204</w:t>
            </w:r>
          </w:p>
        </w:tc>
        <w:tc>
          <w:tcPr>
            <w:tcW w:w="73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台</w:t>
            </w:r>
          </w:p>
        </w:tc>
        <w:tc>
          <w:tcPr>
            <w:tcW w:w="73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2.00</w:t>
            </w:r>
          </w:p>
        </w:tc>
        <w:tc>
          <w:tcPr>
            <w:tcW w:w="951"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0.50</w:t>
            </w:r>
          </w:p>
        </w:tc>
        <w:tc>
          <w:tcPr>
            <w:tcW w:w="881" w:type="dxa"/>
            <w:shd w:val="clear" w:color="auto" w:fill="auto"/>
            <w:noWrap/>
            <w:vAlign w:val="center"/>
          </w:tcPr>
          <w:p w:rsidR="0023060E" w:rsidRDefault="0023060E">
            <w:pPr>
              <w:spacing w:line="300" w:lineRule="exact"/>
              <w:jc w:val="right"/>
              <w:rPr>
                <w:rFonts w:ascii="方正书宋_GBK" w:eastAsia="方正书宋_GBK"/>
              </w:rPr>
            </w:pPr>
          </w:p>
        </w:tc>
        <w:tc>
          <w:tcPr>
            <w:tcW w:w="941" w:type="dxa"/>
            <w:shd w:val="clear" w:color="auto" w:fill="auto"/>
            <w:noWrap/>
            <w:vAlign w:val="center"/>
          </w:tcPr>
          <w:p w:rsidR="0023060E" w:rsidRDefault="0023060E">
            <w:pPr>
              <w:spacing w:line="300" w:lineRule="exact"/>
              <w:jc w:val="right"/>
              <w:rPr>
                <w:rFonts w:ascii="方正书宋_GBK" w:eastAsia="方正书宋_GBK"/>
              </w:rPr>
            </w:pPr>
          </w:p>
        </w:tc>
        <w:tc>
          <w:tcPr>
            <w:tcW w:w="941" w:type="dxa"/>
            <w:shd w:val="clear" w:color="auto" w:fill="auto"/>
            <w:noWrap/>
            <w:vAlign w:val="center"/>
          </w:tcPr>
          <w:p w:rsidR="0023060E" w:rsidRDefault="0023060E">
            <w:pPr>
              <w:spacing w:line="300" w:lineRule="exact"/>
              <w:jc w:val="right"/>
              <w:rPr>
                <w:rFonts w:ascii="方正书宋_GBK" w:eastAsia="方正书宋_GBK"/>
              </w:rPr>
            </w:pPr>
          </w:p>
        </w:tc>
        <w:tc>
          <w:tcPr>
            <w:tcW w:w="899" w:type="dxa"/>
            <w:shd w:val="clear" w:color="auto" w:fill="auto"/>
            <w:noWrap/>
            <w:vAlign w:val="center"/>
          </w:tcPr>
          <w:p w:rsidR="0023060E" w:rsidRDefault="0023060E">
            <w:pPr>
              <w:spacing w:line="300" w:lineRule="exact"/>
              <w:jc w:val="right"/>
              <w:rPr>
                <w:rFonts w:ascii="方正书宋_GBK" w:eastAsia="方正书宋_GBK"/>
              </w:rPr>
            </w:pPr>
          </w:p>
        </w:tc>
      </w:tr>
      <w:tr w:rsidR="0023060E">
        <w:trPr>
          <w:jc w:val="center"/>
        </w:trPr>
        <w:tc>
          <w:tcPr>
            <w:tcW w:w="2424"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教育事务管理经费（含培训、督导、语言、文字等）</w:t>
            </w:r>
          </w:p>
        </w:tc>
        <w:tc>
          <w:tcPr>
            <w:tcW w:w="1075"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40.00</w:t>
            </w:r>
          </w:p>
        </w:tc>
        <w:tc>
          <w:tcPr>
            <w:tcW w:w="950"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复印机</w:t>
            </w:r>
          </w:p>
        </w:tc>
        <w:tc>
          <w:tcPr>
            <w:tcW w:w="1161"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A020201</w:t>
            </w:r>
          </w:p>
        </w:tc>
        <w:tc>
          <w:tcPr>
            <w:tcW w:w="73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台</w:t>
            </w:r>
          </w:p>
        </w:tc>
        <w:tc>
          <w:tcPr>
            <w:tcW w:w="73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1.00</w:t>
            </w:r>
          </w:p>
        </w:tc>
        <w:tc>
          <w:tcPr>
            <w:tcW w:w="951"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1.00</w:t>
            </w:r>
          </w:p>
        </w:tc>
        <w:tc>
          <w:tcPr>
            <w:tcW w:w="881" w:type="dxa"/>
            <w:shd w:val="clear" w:color="auto" w:fill="auto"/>
            <w:noWrap/>
            <w:vAlign w:val="center"/>
          </w:tcPr>
          <w:p w:rsidR="0023060E" w:rsidRDefault="0023060E">
            <w:pPr>
              <w:spacing w:line="300" w:lineRule="exact"/>
              <w:jc w:val="right"/>
              <w:rPr>
                <w:rFonts w:ascii="方正书宋_GBK" w:eastAsia="方正书宋_GBK"/>
              </w:rPr>
            </w:pPr>
          </w:p>
        </w:tc>
        <w:tc>
          <w:tcPr>
            <w:tcW w:w="941" w:type="dxa"/>
            <w:shd w:val="clear" w:color="auto" w:fill="auto"/>
            <w:noWrap/>
            <w:vAlign w:val="center"/>
          </w:tcPr>
          <w:p w:rsidR="0023060E" w:rsidRDefault="0023060E">
            <w:pPr>
              <w:spacing w:line="300" w:lineRule="exact"/>
              <w:jc w:val="right"/>
              <w:rPr>
                <w:rFonts w:ascii="方正书宋_GBK" w:eastAsia="方正书宋_GBK"/>
              </w:rPr>
            </w:pPr>
          </w:p>
        </w:tc>
        <w:tc>
          <w:tcPr>
            <w:tcW w:w="941" w:type="dxa"/>
            <w:shd w:val="clear" w:color="auto" w:fill="auto"/>
            <w:noWrap/>
            <w:vAlign w:val="center"/>
          </w:tcPr>
          <w:p w:rsidR="0023060E" w:rsidRDefault="0023060E">
            <w:pPr>
              <w:spacing w:line="300" w:lineRule="exact"/>
              <w:jc w:val="right"/>
              <w:rPr>
                <w:rFonts w:ascii="方正书宋_GBK" w:eastAsia="方正书宋_GBK"/>
              </w:rPr>
            </w:pPr>
          </w:p>
        </w:tc>
        <w:tc>
          <w:tcPr>
            <w:tcW w:w="899" w:type="dxa"/>
            <w:shd w:val="clear" w:color="auto" w:fill="auto"/>
            <w:noWrap/>
            <w:vAlign w:val="center"/>
          </w:tcPr>
          <w:p w:rsidR="0023060E" w:rsidRDefault="0023060E">
            <w:pPr>
              <w:spacing w:line="300" w:lineRule="exact"/>
              <w:jc w:val="right"/>
              <w:rPr>
                <w:rFonts w:ascii="方正书宋_GBK" w:eastAsia="方正书宋_GBK"/>
              </w:rPr>
            </w:pPr>
          </w:p>
        </w:tc>
      </w:tr>
      <w:tr w:rsidR="0023060E">
        <w:trPr>
          <w:jc w:val="center"/>
        </w:trPr>
        <w:tc>
          <w:tcPr>
            <w:tcW w:w="2424"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教师招聘专项经费</w:t>
            </w:r>
          </w:p>
        </w:tc>
        <w:tc>
          <w:tcPr>
            <w:tcW w:w="1075"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18.00</w:t>
            </w:r>
          </w:p>
        </w:tc>
        <w:tc>
          <w:tcPr>
            <w:tcW w:w="950"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打印设备</w:t>
            </w:r>
          </w:p>
        </w:tc>
        <w:tc>
          <w:tcPr>
            <w:tcW w:w="1161"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A02010601</w:t>
            </w:r>
          </w:p>
        </w:tc>
        <w:tc>
          <w:tcPr>
            <w:tcW w:w="73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台</w:t>
            </w:r>
          </w:p>
        </w:tc>
        <w:tc>
          <w:tcPr>
            <w:tcW w:w="73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2.00</w:t>
            </w:r>
          </w:p>
        </w:tc>
        <w:tc>
          <w:tcPr>
            <w:tcW w:w="951"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0.50</w:t>
            </w:r>
          </w:p>
        </w:tc>
        <w:tc>
          <w:tcPr>
            <w:tcW w:w="881" w:type="dxa"/>
            <w:shd w:val="clear" w:color="auto" w:fill="auto"/>
            <w:noWrap/>
            <w:vAlign w:val="center"/>
          </w:tcPr>
          <w:p w:rsidR="0023060E" w:rsidRDefault="0023060E">
            <w:pPr>
              <w:spacing w:line="300" w:lineRule="exact"/>
              <w:jc w:val="right"/>
              <w:rPr>
                <w:rFonts w:ascii="方正书宋_GBK" w:eastAsia="方正书宋_GBK"/>
              </w:rPr>
            </w:pPr>
          </w:p>
        </w:tc>
        <w:tc>
          <w:tcPr>
            <w:tcW w:w="941" w:type="dxa"/>
            <w:shd w:val="clear" w:color="auto" w:fill="auto"/>
            <w:noWrap/>
            <w:vAlign w:val="center"/>
          </w:tcPr>
          <w:p w:rsidR="0023060E" w:rsidRDefault="0023060E">
            <w:pPr>
              <w:spacing w:line="300" w:lineRule="exact"/>
              <w:jc w:val="right"/>
              <w:rPr>
                <w:rFonts w:ascii="方正书宋_GBK" w:eastAsia="方正书宋_GBK"/>
              </w:rPr>
            </w:pPr>
          </w:p>
        </w:tc>
        <w:tc>
          <w:tcPr>
            <w:tcW w:w="941" w:type="dxa"/>
            <w:shd w:val="clear" w:color="auto" w:fill="auto"/>
            <w:noWrap/>
            <w:vAlign w:val="center"/>
          </w:tcPr>
          <w:p w:rsidR="0023060E" w:rsidRDefault="0023060E">
            <w:pPr>
              <w:spacing w:line="300" w:lineRule="exact"/>
              <w:jc w:val="right"/>
              <w:rPr>
                <w:rFonts w:ascii="方正书宋_GBK" w:eastAsia="方正书宋_GBK"/>
              </w:rPr>
            </w:pPr>
          </w:p>
        </w:tc>
        <w:tc>
          <w:tcPr>
            <w:tcW w:w="899" w:type="dxa"/>
            <w:shd w:val="clear" w:color="auto" w:fill="auto"/>
            <w:noWrap/>
            <w:vAlign w:val="center"/>
          </w:tcPr>
          <w:p w:rsidR="0023060E" w:rsidRDefault="0023060E">
            <w:pPr>
              <w:spacing w:line="300" w:lineRule="exact"/>
              <w:jc w:val="right"/>
              <w:rPr>
                <w:rFonts w:ascii="方正书宋_GBK" w:eastAsia="方正书宋_GBK"/>
              </w:rPr>
            </w:pPr>
          </w:p>
        </w:tc>
      </w:tr>
      <w:tr w:rsidR="0023060E">
        <w:trPr>
          <w:jc w:val="center"/>
        </w:trPr>
        <w:tc>
          <w:tcPr>
            <w:tcW w:w="2424"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南戴河实验学校合并迁建项目资金</w:t>
            </w:r>
          </w:p>
        </w:tc>
        <w:tc>
          <w:tcPr>
            <w:tcW w:w="1075"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1960.00</w:t>
            </w:r>
          </w:p>
        </w:tc>
        <w:tc>
          <w:tcPr>
            <w:tcW w:w="950"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工程</w:t>
            </w:r>
          </w:p>
        </w:tc>
        <w:tc>
          <w:tcPr>
            <w:tcW w:w="1161"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B</w:t>
            </w:r>
          </w:p>
        </w:tc>
        <w:tc>
          <w:tcPr>
            <w:tcW w:w="73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个</w:t>
            </w:r>
          </w:p>
        </w:tc>
        <w:tc>
          <w:tcPr>
            <w:tcW w:w="73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1.00</w:t>
            </w:r>
          </w:p>
        </w:tc>
        <w:tc>
          <w:tcPr>
            <w:tcW w:w="951"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1960.00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1960.00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1960.00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1960.00</w:t>
            </w:r>
          </w:p>
        </w:tc>
        <w:tc>
          <w:tcPr>
            <w:tcW w:w="881" w:type="dxa"/>
            <w:shd w:val="clear" w:color="auto" w:fill="auto"/>
            <w:noWrap/>
            <w:vAlign w:val="center"/>
          </w:tcPr>
          <w:p w:rsidR="0023060E" w:rsidRDefault="0023060E">
            <w:pPr>
              <w:spacing w:line="300" w:lineRule="exact"/>
              <w:jc w:val="right"/>
              <w:rPr>
                <w:rFonts w:ascii="方正书宋_GBK" w:eastAsia="方正书宋_GBK"/>
              </w:rPr>
            </w:pPr>
          </w:p>
        </w:tc>
        <w:tc>
          <w:tcPr>
            <w:tcW w:w="941" w:type="dxa"/>
            <w:shd w:val="clear" w:color="auto" w:fill="auto"/>
            <w:noWrap/>
            <w:vAlign w:val="center"/>
          </w:tcPr>
          <w:p w:rsidR="0023060E" w:rsidRDefault="0023060E">
            <w:pPr>
              <w:spacing w:line="300" w:lineRule="exact"/>
              <w:jc w:val="right"/>
              <w:rPr>
                <w:rFonts w:ascii="方正书宋_GBK" w:eastAsia="方正书宋_GBK"/>
              </w:rPr>
            </w:pPr>
          </w:p>
        </w:tc>
        <w:tc>
          <w:tcPr>
            <w:tcW w:w="941" w:type="dxa"/>
            <w:shd w:val="clear" w:color="auto" w:fill="auto"/>
            <w:noWrap/>
            <w:vAlign w:val="center"/>
          </w:tcPr>
          <w:p w:rsidR="0023060E" w:rsidRDefault="0023060E">
            <w:pPr>
              <w:spacing w:line="300" w:lineRule="exact"/>
              <w:jc w:val="right"/>
              <w:rPr>
                <w:rFonts w:ascii="方正书宋_GBK" w:eastAsia="方正书宋_GBK"/>
              </w:rPr>
            </w:pPr>
          </w:p>
        </w:tc>
        <w:tc>
          <w:tcPr>
            <w:tcW w:w="899" w:type="dxa"/>
            <w:shd w:val="clear" w:color="auto" w:fill="auto"/>
            <w:noWrap/>
            <w:vAlign w:val="center"/>
          </w:tcPr>
          <w:p w:rsidR="0023060E" w:rsidRDefault="0023060E">
            <w:pPr>
              <w:spacing w:line="300" w:lineRule="exact"/>
              <w:jc w:val="right"/>
              <w:rPr>
                <w:rFonts w:ascii="方正书宋_GBK" w:eastAsia="方正书宋_GBK"/>
              </w:rPr>
            </w:pPr>
          </w:p>
        </w:tc>
      </w:tr>
      <w:tr w:rsidR="0023060E">
        <w:trPr>
          <w:jc w:val="center"/>
        </w:trPr>
        <w:tc>
          <w:tcPr>
            <w:tcW w:w="2424"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lastRenderedPageBreak/>
              <w:t>美丽乡村建设专项资金</w:t>
            </w:r>
          </w:p>
        </w:tc>
        <w:tc>
          <w:tcPr>
            <w:tcW w:w="1075"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5.00</w:t>
            </w:r>
          </w:p>
        </w:tc>
        <w:tc>
          <w:tcPr>
            <w:tcW w:w="950"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计算机设备</w:t>
            </w:r>
          </w:p>
        </w:tc>
        <w:tc>
          <w:tcPr>
            <w:tcW w:w="1161"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A020101</w:t>
            </w:r>
          </w:p>
        </w:tc>
        <w:tc>
          <w:tcPr>
            <w:tcW w:w="73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台</w:t>
            </w:r>
          </w:p>
        </w:tc>
        <w:tc>
          <w:tcPr>
            <w:tcW w:w="73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4.00</w:t>
            </w:r>
          </w:p>
        </w:tc>
        <w:tc>
          <w:tcPr>
            <w:tcW w:w="951"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2.00</w:t>
            </w:r>
          </w:p>
        </w:tc>
        <w:tc>
          <w:tcPr>
            <w:tcW w:w="881" w:type="dxa"/>
            <w:shd w:val="clear" w:color="auto" w:fill="auto"/>
            <w:noWrap/>
            <w:vAlign w:val="center"/>
          </w:tcPr>
          <w:p w:rsidR="0023060E" w:rsidRDefault="0023060E">
            <w:pPr>
              <w:spacing w:line="300" w:lineRule="exact"/>
              <w:jc w:val="right"/>
              <w:rPr>
                <w:rFonts w:ascii="方正书宋_GBK" w:eastAsia="方正书宋_GBK"/>
              </w:rPr>
            </w:pPr>
          </w:p>
        </w:tc>
        <w:tc>
          <w:tcPr>
            <w:tcW w:w="941" w:type="dxa"/>
            <w:shd w:val="clear" w:color="auto" w:fill="auto"/>
            <w:noWrap/>
            <w:vAlign w:val="center"/>
          </w:tcPr>
          <w:p w:rsidR="0023060E" w:rsidRDefault="0023060E">
            <w:pPr>
              <w:spacing w:line="300" w:lineRule="exact"/>
              <w:jc w:val="right"/>
              <w:rPr>
                <w:rFonts w:ascii="方正书宋_GBK" w:eastAsia="方正书宋_GBK"/>
              </w:rPr>
            </w:pPr>
          </w:p>
        </w:tc>
        <w:tc>
          <w:tcPr>
            <w:tcW w:w="941" w:type="dxa"/>
            <w:shd w:val="clear" w:color="auto" w:fill="auto"/>
            <w:noWrap/>
            <w:vAlign w:val="center"/>
          </w:tcPr>
          <w:p w:rsidR="0023060E" w:rsidRDefault="0023060E">
            <w:pPr>
              <w:spacing w:line="300" w:lineRule="exact"/>
              <w:jc w:val="right"/>
              <w:rPr>
                <w:rFonts w:ascii="方正书宋_GBK" w:eastAsia="方正书宋_GBK"/>
              </w:rPr>
            </w:pPr>
          </w:p>
        </w:tc>
        <w:tc>
          <w:tcPr>
            <w:tcW w:w="899" w:type="dxa"/>
            <w:shd w:val="clear" w:color="auto" w:fill="auto"/>
            <w:noWrap/>
            <w:vAlign w:val="center"/>
          </w:tcPr>
          <w:p w:rsidR="0023060E" w:rsidRDefault="0023060E">
            <w:pPr>
              <w:spacing w:line="300" w:lineRule="exact"/>
              <w:jc w:val="right"/>
              <w:rPr>
                <w:rFonts w:ascii="方正书宋_GBK" w:eastAsia="方正书宋_GBK"/>
              </w:rPr>
            </w:pPr>
          </w:p>
        </w:tc>
      </w:tr>
      <w:tr w:rsidR="0023060E">
        <w:trPr>
          <w:jc w:val="center"/>
        </w:trPr>
        <w:tc>
          <w:tcPr>
            <w:tcW w:w="2424"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河道保洁资金</w:t>
            </w:r>
          </w:p>
        </w:tc>
        <w:tc>
          <w:tcPr>
            <w:tcW w:w="1075"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60.00</w:t>
            </w:r>
          </w:p>
        </w:tc>
        <w:tc>
          <w:tcPr>
            <w:tcW w:w="950"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水污染治理服务</w:t>
            </w:r>
          </w:p>
        </w:tc>
        <w:tc>
          <w:tcPr>
            <w:tcW w:w="1161"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C1602</w:t>
            </w:r>
          </w:p>
        </w:tc>
        <w:tc>
          <w:tcPr>
            <w:tcW w:w="73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个</w:t>
            </w:r>
          </w:p>
        </w:tc>
        <w:tc>
          <w:tcPr>
            <w:tcW w:w="73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1.00</w:t>
            </w:r>
          </w:p>
        </w:tc>
        <w:tc>
          <w:tcPr>
            <w:tcW w:w="951"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60.00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60.00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60.00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60.00</w:t>
            </w:r>
          </w:p>
        </w:tc>
        <w:tc>
          <w:tcPr>
            <w:tcW w:w="881" w:type="dxa"/>
            <w:shd w:val="clear" w:color="auto" w:fill="auto"/>
            <w:noWrap/>
            <w:vAlign w:val="center"/>
          </w:tcPr>
          <w:p w:rsidR="0023060E" w:rsidRDefault="0023060E">
            <w:pPr>
              <w:spacing w:line="300" w:lineRule="exact"/>
              <w:jc w:val="right"/>
              <w:rPr>
                <w:rFonts w:ascii="方正书宋_GBK" w:eastAsia="方正书宋_GBK"/>
              </w:rPr>
            </w:pPr>
          </w:p>
        </w:tc>
        <w:tc>
          <w:tcPr>
            <w:tcW w:w="941" w:type="dxa"/>
            <w:shd w:val="clear" w:color="auto" w:fill="auto"/>
            <w:noWrap/>
            <w:vAlign w:val="center"/>
          </w:tcPr>
          <w:p w:rsidR="0023060E" w:rsidRDefault="0023060E">
            <w:pPr>
              <w:spacing w:line="300" w:lineRule="exact"/>
              <w:jc w:val="right"/>
              <w:rPr>
                <w:rFonts w:ascii="方正书宋_GBK" w:eastAsia="方正书宋_GBK"/>
              </w:rPr>
            </w:pPr>
          </w:p>
        </w:tc>
        <w:tc>
          <w:tcPr>
            <w:tcW w:w="941" w:type="dxa"/>
            <w:shd w:val="clear" w:color="auto" w:fill="auto"/>
            <w:noWrap/>
            <w:vAlign w:val="center"/>
          </w:tcPr>
          <w:p w:rsidR="0023060E" w:rsidRDefault="0023060E">
            <w:pPr>
              <w:spacing w:line="300" w:lineRule="exact"/>
              <w:jc w:val="right"/>
              <w:rPr>
                <w:rFonts w:ascii="方正书宋_GBK" w:eastAsia="方正书宋_GBK"/>
              </w:rPr>
            </w:pPr>
          </w:p>
        </w:tc>
        <w:tc>
          <w:tcPr>
            <w:tcW w:w="899" w:type="dxa"/>
            <w:shd w:val="clear" w:color="auto" w:fill="auto"/>
            <w:noWrap/>
            <w:vAlign w:val="center"/>
          </w:tcPr>
          <w:p w:rsidR="0023060E" w:rsidRDefault="0023060E">
            <w:pPr>
              <w:spacing w:line="300" w:lineRule="exact"/>
              <w:jc w:val="right"/>
              <w:rPr>
                <w:rFonts w:ascii="方正书宋_GBK" w:eastAsia="方正书宋_GBK"/>
              </w:rPr>
            </w:pPr>
          </w:p>
        </w:tc>
      </w:tr>
      <w:tr w:rsidR="0023060E">
        <w:trPr>
          <w:jc w:val="center"/>
        </w:trPr>
        <w:tc>
          <w:tcPr>
            <w:tcW w:w="2424"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南戴河实验学校合并迁建项目资金（教育费附加安排）</w:t>
            </w:r>
          </w:p>
        </w:tc>
        <w:tc>
          <w:tcPr>
            <w:tcW w:w="1075"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1040.00</w:t>
            </w:r>
          </w:p>
        </w:tc>
        <w:tc>
          <w:tcPr>
            <w:tcW w:w="950"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工程</w:t>
            </w:r>
          </w:p>
        </w:tc>
        <w:tc>
          <w:tcPr>
            <w:tcW w:w="1161"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rPr>
              <w:t>B</w:t>
            </w:r>
          </w:p>
        </w:tc>
        <w:tc>
          <w:tcPr>
            <w:tcW w:w="737" w:type="dxa"/>
            <w:shd w:val="clear" w:color="auto" w:fill="auto"/>
            <w:noWrap/>
            <w:vAlign w:val="center"/>
          </w:tcPr>
          <w:p w:rsidR="0023060E" w:rsidRDefault="00895E82">
            <w:pPr>
              <w:spacing w:line="300" w:lineRule="exact"/>
              <w:jc w:val="left"/>
              <w:rPr>
                <w:rFonts w:ascii="方正书宋_GBK" w:eastAsia="方正书宋_GBK"/>
              </w:rPr>
            </w:pPr>
            <w:r>
              <w:rPr>
                <w:rFonts w:ascii="方正书宋_GBK" w:eastAsia="方正书宋_GBK" w:hint="eastAsia"/>
              </w:rPr>
              <w:t>个</w:t>
            </w:r>
          </w:p>
        </w:tc>
        <w:tc>
          <w:tcPr>
            <w:tcW w:w="73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1.00</w:t>
            </w:r>
          </w:p>
        </w:tc>
        <w:tc>
          <w:tcPr>
            <w:tcW w:w="951"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1040.00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1040.00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1040.00</w:t>
            </w:r>
          </w:p>
        </w:tc>
        <w:tc>
          <w:tcPr>
            <w:tcW w:w="957" w:type="dxa"/>
            <w:shd w:val="clear" w:color="auto" w:fill="auto"/>
            <w:noWrap/>
            <w:vAlign w:val="center"/>
          </w:tcPr>
          <w:p w:rsidR="0023060E" w:rsidRDefault="00895E82">
            <w:pPr>
              <w:spacing w:line="300" w:lineRule="exact"/>
              <w:jc w:val="right"/>
              <w:rPr>
                <w:rFonts w:ascii="方正书宋_GBK" w:eastAsia="方正书宋_GBK"/>
              </w:rPr>
            </w:pPr>
            <w:r>
              <w:rPr>
                <w:rFonts w:ascii="方正书宋_GBK" w:eastAsia="方正书宋_GBK"/>
              </w:rPr>
              <w:t>1040.00</w:t>
            </w:r>
          </w:p>
        </w:tc>
        <w:tc>
          <w:tcPr>
            <w:tcW w:w="881" w:type="dxa"/>
            <w:shd w:val="clear" w:color="auto" w:fill="auto"/>
            <w:noWrap/>
            <w:vAlign w:val="center"/>
          </w:tcPr>
          <w:p w:rsidR="0023060E" w:rsidRDefault="0023060E">
            <w:pPr>
              <w:spacing w:line="300" w:lineRule="exact"/>
              <w:jc w:val="right"/>
              <w:rPr>
                <w:rFonts w:ascii="方正书宋_GBK" w:eastAsia="方正书宋_GBK"/>
              </w:rPr>
            </w:pPr>
          </w:p>
        </w:tc>
        <w:tc>
          <w:tcPr>
            <w:tcW w:w="941" w:type="dxa"/>
            <w:shd w:val="clear" w:color="auto" w:fill="auto"/>
            <w:noWrap/>
            <w:vAlign w:val="center"/>
          </w:tcPr>
          <w:p w:rsidR="0023060E" w:rsidRDefault="0023060E">
            <w:pPr>
              <w:spacing w:line="300" w:lineRule="exact"/>
              <w:jc w:val="right"/>
              <w:rPr>
                <w:rFonts w:ascii="方正书宋_GBK" w:eastAsia="方正书宋_GBK"/>
              </w:rPr>
            </w:pPr>
          </w:p>
        </w:tc>
        <w:tc>
          <w:tcPr>
            <w:tcW w:w="941" w:type="dxa"/>
            <w:shd w:val="clear" w:color="auto" w:fill="auto"/>
            <w:noWrap/>
            <w:vAlign w:val="center"/>
          </w:tcPr>
          <w:p w:rsidR="0023060E" w:rsidRDefault="0023060E">
            <w:pPr>
              <w:spacing w:line="300" w:lineRule="exact"/>
              <w:jc w:val="right"/>
              <w:rPr>
                <w:rFonts w:ascii="方正书宋_GBK" w:eastAsia="方正书宋_GBK"/>
              </w:rPr>
            </w:pPr>
          </w:p>
        </w:tc>
        <w:tc>
          <w:tcPr>
            <w:tcW w:w="899" w:type="dxa"/>
            <w:shd w:val="clear" w:color="auto" w:fill="auto"/>
            <w:noWrap/>
            <w:vAlign w:val="center"/>
          </w:tcPr>
          <w:p w:rsidR="0023060E" w:rsidRDefault="0023060E">
            <w:pPr>
              <w:spacing w:line="300" w:lineRule="exact"/>
              <w:jc w:val="right"/>
              <w:rPr>
                <w:rFonts w:ascii="方正书宋_GBK" w:eastAsia="方正书宋_GBK"/>
              </w:rPr>
            </w:pPr>
          </w:p>
        </w:tc>
      </w:tr>
    </w:tbl>
    <w:p w:rsidR="0023060E" w:rsidRDefault="0023060E">
      <w:pPr>
        <w:rPr>
          <w:rFonts w:ascii="Times New Roman" w:eastAsia="方正仿宋简体" w:hAnsi="Times New Roman" w:cs="Times New Roman"/>
          <w:sz w:val="32"/>
          <w:szCs w:val="24"/>
        </w:rPr>
      </w:pPr>
    </w:p>
    <w:p w:rsidR="0023060E" w:rsidRDefault="00895E82">
      <w:pPr>
        <w:ind w:firstLine="640"/>
        <w:rPr>
          <w:rFonts w:ascii="Times New Roman" w:eastAsia="黑体" w:hAnsi="Times New Roman" w:cs="Times New Roman"/>
          <w:sz w:val="32"/>
          <w:szCs w:val="32"/>
        </w:rPr>
      </w:pPr>
      <w:r>
        <w:rPr>
          <w:rFonts w:ascii="Times New Roman" w:eastAsia="黑体" w:hAnsi="Times New Roman" w:cs="Times New Roman"/>
          <w:sz w:val="32"/>
          <w:szCs w:val="32"/>
        </w:rPr>
        <w:t>七、国有资产信息</w:t>
      </w:r>
    </w:p>
    <w:p w:rsidR="0023060E" w:rsidRDefault="00895E82">
      <w:pPr>
        <w:ind w:firstLine="640"/>
        <w:rPr>
          <w:rFonts w:ascii="Times New Roman" w:eastAsia="方正仿宋简体" w:hAnsi="Times New Roman" w:cs="Times New Roman"/>
          <w:sz w:val="32"/>
          <w:szCs w:val="24"/>
        </w:rPr>
      </w:pPr>
      <w:r>
        <w:rPr>
          <w:rFonts w:ascii="Times New Roman" w:eastAsia="方正仿宋简体" w:hAnsi="Times New Roman" w:cs="Times New Roman"/>
          <w:sz w:val="32"/>
          <w:szCs w:val="24"/>
        </w:rPr>
        <w:t>上年末固定资产金额为</w:t>
      </w:r>
      <w:r>
        <w:rPr>
          <w:rFonts w:ascii="Times New Roman" w:hAnsi="Times New Roman" w:cs="Times New Roman" w:hint="eastAsia"/>
          <w:kern w:val="0"/>
          <w:sz w:val="32"/>
          <w:szCs w:val="32"/>
        </w:rPr>
        <w:t>1824.08</w:t>
      </w:r>
      <w:r>
        <w:rPr>
          <w:rFonts w:ascii="Times New Roman" w:eastAsia="方正仿宋简体" w:hAnsi="Times New Roman" w:cs="Times New Roman"/>
          <w:sz w:val="32"/>
          <w:szCs w:val="24"/>
        </w:rPr>
        <w:t>万元（详见下表），本年度各单位拟购置固定资产主要为计算机、一体机、打印机等，共计</w:t>
      </w:r>
      <w:r>
        <w:rPr>
          <w:rFonts w:ascii="Times New Roman" w:eastAsia="方正仿宋简体" w:hAnsi="Times New Roman" w:cs="Times New Roman"/>
          <w:sz w:val="32"/>
          <w:szCs w:val="32"/>
        </w:rPr>
        <w:t>5</w:t>
      </w:r>
      <w:r>
        <w:rPr>
          <w:rFonts w:ascii="Times New Roman" w:eastAsia="方正仿宋简体" w:hAnsi="Times New Roman" w:cs="Times New Roman"/>
          <w:sz w:val="32"/>
          <w:szCs w:val="24"/>
        </w:rPr>
        <w:t>万元，均是</w:t>
      </w:r>
      <w:r>
        <w:rPr>
          <w:rFonts w:ascii="Times New Roman" w:eastAsia="方正仿宋简体" w:hAnsi="Times New Roman" w:cs="Times New Roman"/>
          <w:sz w:val="32"/>
          <w:szCs w:val="24"/>
        </w:rPr>
        <w:t>20</w:t>
      </w:r>
      <w:r>
        <w:rPr>
          <w:rFonts w:ascii="Times New Roman" w:eastAsia="方正仿宋简体" w:hAnsi="Times New Roman" w:cs="Times New Roman"/>
          <w:sz w:val="32"/>
          <w:szCs w:val="24"/>
        </w:rPr>
        <w:t>万元以下的设备。</w:t>
      </w:r>
    </w:p>
    <w:p w:rsidR="0023060E" w:rsidRDefault="0023060E">
      <w:pPr>
        <w:ind w:firstLine="640"/>
        <w:rPr>
          <w:rFonts w:ascii="Times New Roman" w:eastAsia="方正仿宋简体" w:hAnsi="Times New Roman" w:cs="Times New Roman"/>
          <w:sz w:val="32"/>
          <w:szCs w:val="24"/>
        </w:rPr>
      </w:pPr>
    </w:p>
    <w:p w:rsidR="0023060E" w:rsidRDefault="0023060E">
      <w:pPr>
        <w:ind w:firstLine="640"/>
        <w:rPr>
          <w:rFonts w:ascii="Times New Roman" w:eastAsia="方正仿宋简体" w:hAnsi="Times New Roman" w:cs="Times New Roman"/>
          <w:sz w:val="32"/>
          <w:szCs w:val="24"/>
        </w:rPr>
      </w:pPr>
    </w:p>
    <w:tbl>
      <w:tblPr>
        <w:tblW w:w="13482" w:type="dxa"/>
        <w:tblInd w:w="93" w:type="dxa"/>
        <w:tblLayout w:type="fixed"/>
        <w:tblLook w:val="04A0"/>
      </w:tblPr>
      <w:tblGrid>
        <w:gridCol w:w="5224"/>
        <w:gridCol w:w="3155"/>
        <w:gridCol w:w="5103"/>
      </w:tblGrid>
      <w:tr w:rsidR="0023060E">
        <w:trPr>
          <w:trHeight w:val="705"/>
        </w:trPr>
        <w:tc>
          <w:tcPr>
            <w:tcW w:w="13482" w:type="dxa"/>
            <w:gridSpan w:val="3"/>
            <w:tcBorders>
              <w:top w:val="nil"/>
              <w:left w:val="nil"/>
              <w:bottom w:val="nil"/>
              <w:right w:val="nil"/>
            </w:tcBorders>
            <w:vAlign w:val="center"/>
          </w:tcPr>
          <w:p w:rsidR="0023060E" w:rsidRDefault="00895E82">
            <w:pPr>
              <w:widowControl/>
              <w:jc w:val="center"/>
              <w:rPr>
                <w:rFonts w:ascii="Times New Roman" w:hAnsi="Times New Roman" w:cs="Times New Roman"/>
                <w:b/>
                <w:bCs/>
                <w:kern w:val="0"/>
                <w:sz w:val="32"/>
                <w:szCs w:val="32"/>
              </w:rPr>
            </w:pPr>
            <w:r>
              <w:rPr>
                <w:rFonts w:ascii="Times New Roman" w:hAnsi="Times New Roman" w:cs="Times New Roman"/>
                <w:b/>
                <w:bCs/>
                <w:kern w:val="0"/>
                <w:sz w:val="32"/>
                <w:szCs w:val="32"/>
              </w:rPr>
              <w:lastRenderedPageBreak/>
              <w:t>社会发展局部门固定资产占用情况表</w:t>
            </w:r>
          </w:p>
        </w:tc>
      </w:tr>
      <w:tr w:rsidR="0023060E">
        <w:trPr>
          <w:trHeight w:val="510"/>
        </w:trPr>
        <w:tc>
          <w:tcPr>
            <w:tcW w:w="8379" w:type="dxa"/>
            <w:gridSpan w:val="2"/>
            <w:tcBorders>
              <w:top w:val="nil"/>
              <w:left w:val="nil"/>
              <w:bottom w:val="nil"/>
              <w:right w:val="nil"/>
            </w:tcBorders>
            <w:vAlign w:val="center"/>
          </w:tcPr>
          <w:p w:rsidR="0023060E" w:rsidRDefault="00895E82">
            <w:pPr>
              <w:widowControl/>
              <w:jc w:val="left"/>
              <w:rPr>
                <w:rFonts w:ascii="Times New Roman" w:hAnsi="Times New Roman" w:cs="Times New Roman"/>
                <w:kern w:val="0"/>
                <w:sz w:val="22"/>
              </w:rPr>
            </w:pPr>
            <w:r>
              <w:rPr>
                <w:rFonts w:ascii="Times New Roman" w:hAnsi="Times New Roman" w:cs="Times New Roman"/>
                <w:kern w:val="0"/>
                <w:sz w:val="22"/>
              </w:rPr>
              <w:t>编制部门：</w:t>
            </w:r>
            <w:r w:rsidR="00AE55FB">
              <w:rPr>
                <w:rFonts w:ascii="Times New Roman" w:hAnsi="Times New Roman" w:cs="Times New Roman"/>
                <w:kern w:val="0"/>
                <w:sz w:val="22"/>
              </w:rPr>
              <w:t>秦皇岛北戴河新区社会发展局</w:t>
            </w:r>
          </w:p>
        </w:tc>
        <w:tc>
          <w:tcPr>
            <w:tcW w:w="5103" w:type="dxa"/>
            <w:tcBorders>
              <w:top w:val="nil"/>
              <w:left w:val="nil"/>
              <w:bottom w:val="nil"/>
              <w:right w:val="nil"/>
            </w:tcBorders>
            <w:vAlign w:val="center"/>
          </w:tcPr>
          <w:p w:rsidR="0023060E" w:rsidRDefault="00895E82">
            <w:pPr>
              <w:widowControl/>
              <w:jc w:val="left"/>
              <w:rPr>
                <w:rFonts w:ascii="Times New Roman" w:hAnsi="Times New Roman" w:cs="Times New Roman"/>
                <w:kern w:val="0"/>
                <w:sz w:val="22"/>
              </w:rPr>
            </w:pPr>
            <w:r>
              <w:rPr>
                <w:rFonts w:ascii="Times New Roman" w:hAnsi="Times New Roman" w:cs="Times New Roman"/>
                <w:kern w:val="0"/>
                <w:sz w:val="22"/>
              </w:rPr>
              <w:t>截止时间：</w:t>
            </w:r>
            <w:r>
              <w:rPr>
                <w:rFonts w:ascii="Times New Roman" w:hAnsi="Times New Roman" w:cs="Times New Roman"/>
                <w:kern w:val="0"/>
                <w:sz w:val="22"/>
              </w:rPr>
              <w:t>201</w:t>
            </w:r>
            <w:r>
              <w:rPr>
                <w:rFonts w:ascii="Times New Roman" w:hAnsi="Times New Roman" w:cs="Times New Roman" w:hint="eastAsia"/>
                <w:kern w:val="0"/>
                <w:sz w:val="22"/>
              </w:rPr>
              <w:t>8</w:t>
            </w:r>
            <w:r>
              <w:rPr>
                <w:rFonts w:ascii="Times New Roman" w:hAnsi="Times New Roman" w:cs="Times New Roman"/>
                <w:kern w:val="0"/>
                <w:sz w:val="22"/>
              </w:rPr>
              <w:t>年</w:t>
            </w:r>
            <w:r>
              <w:rPr>
                <w:rFonts w:ascii="Times New Roman" w:hAnsi="Times New Roman" w:cs="Times New Roman"/>
                <w:kern w:val="0"/>
                <w:sz w:val="22"/>
              </w:rPr>
              <w:t>12</w:t>
            </w:r>
            <w:r>
              <w:rPr>
                <w:rFonts w:ascii="Times New Roman" w:hAnsi="Times New Roman" w:cs="Times New Roman"/>
                <w:kern w:val="0"/>
                <w:sz w:val="22"/>
              </w:rPr>
              <w:t>月</w:t>
            </w:r>
            <w:r>
              <w:rPr>
                <w:rFonts w:ascii="Times New Roman" w:hAnsi="Times New Roman" w:cs="Times New Roman"/>
                <w:kern w:val="0"/>
                <w:sz w:val="22"/>
              </w:rPr>
              <w:t>31</w:t>
            </w:r>
            <w:r>
              <w:rPr>
                <w:rFonts w:ascii="Times New Roman" w:hAnsi="Times New Roman" w:cs="Times New Roman"/>
                <w:kern w:val="0"/>
                <w:sz w:val="22"/>
              </w:rPr>
              <w:t>日</w:t>
            </w:r>
            <w:r>
              <w:rPr>
                <w:rFonts w:ascii="Times New Roman" w:hAnsi="Times New Roman" w:cs="Times New Roman"/>
                <w:kern w:val="0"/>
                <w:sz w:val="22"/>
              </w:rPr>
              <w:t xml:space="preserve">  </w:t>
            </w:r>
          </w:p>
        </w:tc>
      </w:tr>
      <w:tr w:rsidR="0023060E">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23060E" w:rsidRDefault="00895E82">
            <w:pPr>
              <w:widowControl/>
              <w:jc w:val="center"/>
              <w:rPr>
                <w:rFonts w:ascii="Times New Roman" w:hAnsi="Times New Roman" w:cs="Times New Roman"/>
                <w:b/>
                <w:bCs/>
                <w:kern w:val="0"/>
                <w:sz w:val="22"/>
              </w:rPr>
            </w:pPr>
            <w:r>
              <w:rPr>
                <w:rFonts w:ascii="Times New Roman" w:hAnsi="Times New Roman" w:cs="Times New Roman"/>
                <w:b/>
                <w:bCs/>
                <w:kern w:val="0"/>
                <w:sz w:val="22"/>
              </w:rPr>
              <w:t>项</w:t>
            </w:r>
            <w:r>
              <w:rPr>
                <w:rFonts w:ascii="Times New Roman" w:hAnsi="Times New Roman" w:cs="Times New Roman"/>
                <w:b/>
                <w:bCs/>
                <w:kern w:val="0"/>
                <w:sz w:val="22"/>
              </w:rPr>
              <w:t xml:space="preserve">   </w:t>
            </w:r>
            <w:r>
              <w:rPr>
                <w:rFonts w:ascii="Times New Roman" w:hAnsi="Times New Roman" w:cs="Times New Roman"/>
                <w:b/>
                <w:bCs/>
                <w:kern w:val="0"/>
                <w:sz w:val="22"/>
              </w:rPr>
              <w:t>目</w:t>
            </w:r>
          </w:p>
        </w:tc>
        <w:tc>
          <w:tcPr>
            <w:tcW w:w="3155" w:type="dxa"/>
            <w:tcBorders>
              <w:top w:val="single" w:sz="4" w:space="0" w:color="auto"/>
              <w:left w:val="nil"/>
              <w:bottom w:val="single" w:sz="4" w:space="0" w:color="auto"/>
              <w:right w:val="single" w:sz="4" w:space="0" w:color="auto"/>
            </w:tcBorders>
            <w:vAlign w:val="center"/>
          </w:tcPr>
          <w:p w:rsidR="0023060E" w:rsidRDefault="00895E82">
            <w:pPr>
              <w:widowControl/>
              <w:jc w:val="center"/>
              <w:rPr>
                <w:rFonts w:ascii="Times New Roman" w:hAnsi="Times New Roman" w:cs="Times New Roman"/>
                <w:b/>
                <w:bCs/>
                <w:kern w:val="0"/>
                <w:sz w:val="22"/>
              </w:rPr>
            </w:pPr>
            <w:r>
              <w:rPr>
                <w:rFonts w:ascii="Times New Roman"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23060E" w:rsidRDefault="00895E82">
            <w:pPr>
              <w:widowControl/>
              <w:jc w:val="center"/>
              <w:rPr>
                <w:rFonts w:ascii="Times New Roman" w:hAnsi="Times New Roman" w:cs="Times New Roman"/>
                <w:b/>
                <w:bCs/>
                <w:kern w:val="0"/>
                <w:sz w:val="22"/>
              </w:rPr>
            </w:pPr>
            <w:r>
              <w:rPr>
                <w:rFonts w:ascii="Times New Roman" w:hAnsi="Times New Roman" w:cs="Times New Roman"/>
                <w:b/>
                <w:bCs/>
                <w:kern w:val="0"/>
                <w:sz w:val="22"/>
              </w:rPr>
              <w:t>价值（金额单位：万元）</w:t>
            </w:r>
          </w:p>
        </w:tc>
      </w:tr>
      <w:tr w:rsidR="0023060E">
        <w:trPr>
          <w:trHeight w:val="645"/>
        </w:trPr>
        <w:tc>
          <w:tcPr>
            <w:tcW w:w="5224" w:type="dxa"/>
            <w:tcBorders>
              <w:top w:val="nil"/>
              <w:left w:val="single" w:sz="4" w:space="0" w:color="auto"/>
              <w:bottom w:val="single" w:sz="4" w:space="0" w:color="auto"/>
              <w:right w:val="single" w:sz="4" w:space="0" w:color="auto"/>
            </w:tcBorders>
            <w:vAlign w:val="center"/>
          </w:tcPr>
          <w:p w:rsidR="0023060E" w:rsidRDefault="00895E82">
            <w:pPr>
              <w:widowControl/>
              <w:jc w:val="center"/>
              <w:rPr>
                <w:rFonts w:ascii="Times New Roman" w:hAnsi="Times New Roman" w:cs="Times New Roman"/>
                <w:kern w:val="0"/>
                <w:sz w:val="22"/>
              </w:rPr>
            </w:pPr>
            <w:r>
              <w:rPr>
                <w:rFonts w:ascii="Times New Roman" w:hAnsi="Times New Roman" w:cs="Times New Roman"/>
                <w:kern w:val="0"/>
                <w:sz w:val="22"/>
              </w:rPr>
              <w:t>资产总额</w:t>
            </w:r>
          </w:p>
        </w:tc>
        <w:tc>
          <w:tcPr>
            <w:tcW w:w="3155" w:type="dxa"/>
            <w:tcBorders>
              <w:top w:val="nil"/>
              <w:left w:val="nil"/>
              <w:bottom w:val="single" w:sz="4" w:space="0" w:color="auto"/>
              <w:right w:val="single" w:sz="4" w:space="0" w:color="auto"/>
            </w:tcBorders>
            <w:vAlign w:val="center"/>
          </w:tcPr>
          <w:p w:rsidR="0023060E" w:rsidRDefault="00895E82">
            <w:pPr>
              <w:widowControl/>
              <w:jc w:val="center"/>
              <w:rPr>
                <w:rFonts w:ascii="Times New Roman" w:hAnsi="Times New Roman" w:cs="Times New Roman"/>
                <w:kern w:val="0"/>
                <w:sz w:val="22"/>
              </w:rPr>
            </w:pPr>
            <w:r>
              <w:rPr>
                <w:rFonts w:ascii="Times New Roman"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23060E" w:rsidRDefault="00895E82">
            <w:pPr>
              <w:widowControl/>
              <w:jc w:val="center"/>
              <w:rPr>
                <w:rFonts w:ascii="Times New Roman" w:hAnsi="Times New Roman" w:cs="Times New Roman"/>
                <w:kern w:val="0"/>
                <w:sz w:val="22"/>
              </w:rPr>
            </w:pPr>
            <w:r>
              <w:rPr>
                <w:rFonts w:ascii="Times New Roman" w:hAnsi="Times New Roman" w:cs="Times New Roman" w:hint="eastAsia"/>
                <w:kern w:val="0"/>
                <w:sz w:val="22"/>
              </w:rPr>
              <w:t>1824.08</w:t>
            </w:r>
          </w:p>
        </w:tc>
      </w:tr>
      <w:tr w:rsidR="0023060E">
        <w:trPr>
          <w:trHeight w:val="645"/>
        </w:trPr>
        <w:tc>
          <w:tcPr>
            <w:tcW w:w="5224" w:type="dxa"/>
            <w:tcBorders>
              <w:top w:val="nil"/>
              <w:left w:val="single" w:sz="4" w:space="0" w:color="auto"/>
              <w:bottom w:val="single" w:sz="4" w:space="0" w:color="auto"/>
              <w:right w:val="single" w:sz="4" w:space="0" w:color="auto"/>
            </w:tcBorders>
            <w:vAlign w:val="center"/>
          </w:tcPr>
          <w:p w:rsidR="0023060E" w:rsidRDefault="00895E82">
            <w:pPr>
              <w:widowControl/>
              <w:jc w:val="left"/>
              <w:rPr>
                <w:rFonts w:ascii="Times New Roman" w:hAnsi="Times New Roman" w:cs="Times New Roman"/>
                <w:kern w:val="0"/>
                <w:sz w:val="22"/>
              </w:rPr>
            </w:pPr>
            <w:r>
              <w:rPr>
                <w:rFonts w:ascii="Times New Roman" w:hAnsi="Times New Roman" w:cs="Times New Roman"/>
                <w:kern w:val="0"/>
                <w:sz w:val="22"/>
              </w:rPr>
              <w:t>1</w:t>
            </w:r>
            <w:r>
              <w:rPr>
                <w:rFonts w:ascii="Times New Roman" w:hAnsi="Times New Roman" w:cs="Times New Roman"/>
                <w:kern w:val="0"/>
                <w:sz w:val="22"/>
              </w:rPr>
              <w:t>、房屋（平方米）</w:t>
            </w:r>
          </w:p>
        </w:tc>
        <w:tc>
          <w:tcPr>
            <w:tcW w:w="3155" w:type="dxa"/>
            <w:tcBorders>
              <w:top w:val="nil"/>
              <w:left w:val="nil"/>
              <w:bottom w:val="single" w:sz="4" w:space="0" w:color="auto"/>
              <w:right w:val="single" w:sz="4" w:space="0" w:color="auto"/>
            </w:tcBorders>
            <w:vAlign w:val="center"/>
          </w:tcPr>
          <w:p w:rsidR="0023060E" w:rsidRDefault="0023060E">
            <w:pPr>
              <w:widowControl/>
              <w:jc w:val="center"/>
              <w:rPr>
                <w:rFonts w:ascii="Times New Roman" w:hAnsi="Times New Roman" w:cs="Times New Roman"/>
                <w:kern w:val="0"/>
                <w:sz w:val="22"/>
              </w:rPr>
            </w:pPr>
          </w:p>
        </w:tc>
        <w:tc>
          <w:tcPr>
            <w:tcW w:w="5103" w:type="dxa"/>
            <w:tcBorders>
              <w:top w:val="nil"/>
              <w:left w:val="nil"/>
              <w:bottom w:val="single" w:sz="4" w:space="0" w:color="auto"/>
              <w:right w:val="single" w:sz="4" w:space="0" w:color="auto"/>
            </w:tcBorders>
            <w:vAlign w:val="center"/>
          </w:tcPr>
          <w:p w:rsidR="0023060E" w:rsidRDefault="0023060E">
            <w:pPr>
              <w:widowControl/>
              <w:jc w:val="center"/>
              <w:rPr>
                <w:rFonts w:ascii="Times New Roman" w:hAnsi="Times New Roman" w:cs="Times New Roman"/>
                <w:kern w:val="0"/>
                <w:sz w:val="22"/>
              </w:rPr>
            </w:pPr>
          </w:p>
        </w:tc>
      </w:tr>
      <w:tr w:rsidR="0023060E">
        <w:trPr>
          <w:trHeight w:val="645"/>
        </w:trPr>
        <w:tc>
          <w:tcPr>
            <w:tcW w:w="5224" w:type="dxa"/>
            <w:tcBorders>
              <w:top w:val="nil"/>
              <w:left w:val="single" w:sz="4" w:space="0" w:color="auto"/>
              <w:bottom w:val="single" w:sz="4" w:space="0" w:color="auto"/>
              <w:right w:val="single" w:sz="4" w:space="0" w:color="auto"/>
            </w:tcBorders>
            <w:vAlign w:val="center"/>
          </w:tcPr>
          <w:p w:rsidR="0023060E" w:rsidRDefault="00895E82">
            <w:pPr>
              <w:widowControl/>
              <w:jc w:val="left"/>
              <w:rPr>
                <w:rFonts w:ascii="Times New Roman" w:hAnsi="Times New Roman" w:cs="Times New Roman"/>
                <w:kern w:val="0"/>
                <w:sz w:val="22"/>
              </w:rPr>
            </w:pPr>
            <w:r>
              <w:rPr>
                <w:rFonts w:ascii="Times New Roman" w:hAnsi="Times New Roman" w:cs="Times New Roman"/>
                <w:kern w:val="0"/>
                <w:sz w:val="22"/>
              </w:rPr>
              <w:t xml:space="preserve">  </w:t>
            </w:r>
            <w:r>
              <w:rPr>
                <w:rFonts w:ascii="Times New Roman" w:hAnsi="Times New Roman" w:cs="Times New Roman"/>
                <w:kern w:val="0"/>
                <w:sz w:val="22"/>
              </w:rPr>
              <w:t>其中：办公用房（平方米）</w:t>
            </w:r>
          </w:p>
        </w:tc>
        <w:tc>
          <w:tcPr>
            <w:tcW w:w="3155" w:type="dxa"/>
            <w:tcBorders>
              <w:top w:val="nil"/>
              <w:left w:val="nil"/>
              <w:bottom w:val="single" w:sz="4" w:space="0" w:color="auto"/>
              <w:right w:val="single" w:sz="4" w:space="0" w:color="auto"/>
            </w:tcBorders>
            <w:vAlign w:val="center"/>
          </w:tcPr>
          <w:p w:rsidR="0023060E" w:rsidRDefault="0023060E">
            <w:pPr>
              <w:widowControl/>
              <w:jc w:val="center"/>
              <w:rPr>
                <w:rFonts w:ascii="Times New Roman" w:hAnsi="Times New Roman" w:cs="Times New Roman"/>
                <w:kern w:val="0"/>
                <w:sz w:val="22"/>
              </w:rPr>
            </w:pPr>
          </w:p>
        </w:tc>
        <w:tc>
          <w:tcPr>
            <w:tcW w:w="5103" w:type="dxa"/>
            <w:tcBorders>
              <w:top w:val="nil"/>
              <w:left w:val="nil"/>
              <w:bottom w:val="single" w:sz="4" w:space="0" w:color="auto"/>
              <w:right w:val="single" w:sz="4" w:space="0" w:color="auto"/>
            </w:tcBorders>
            <w:vAlign w:val="center"/>
          </w:tcPr>
          <w:p w:rsidR="0023060E" w:rsidRDefault="0023060E">
            <w:pPr>
              <w:widowControl/>
              <w:jc w:val="center"/>
              <w:rPr>
                <w:rFonts w:ascii="Times New Roman" w:hAnsi="Times New Roman" w:cs="Times New Roman"/>
                <w:kern w:val="0"/>
                <w:sz w:val="22"/>
              </w:rPr>
            </w:pPr>
          </w:p>
        </w:tc>
      </w:tr>
      <w:tr w:rsidR="0023060E">
        <w:trPr>
          <w:trHeight w:val="645"/>
        </w:trPr>
        <w:tc>
          <w:tcPr>
            <w:tcW w:w="5224" w:type="dxa"/>
            <w:tcBorders>
              <w:top w:val="nil"/>
              <w:left w:val="single" w:sz="4" w:space="0" w:color="auto"/>
              <w:bottom w:val="single" w:sz="4" w:space="0" w:color="auto"/>
              <w:right w:val="single" w:sz="4" w:space="0" w:color="auto"/>
            </w:tcBorders>
            <w:vAlign w:val="center"/>
          </w:tcPr>
          <w:p w:rsidR="0023060E" w:rsidRDefault="00895E82">
            <w:pPr>
              <w:widowControl/>
              <w:jc w:val="left"/>
              <w:rPr>
                <w:rFonts w:ascii="Times New Roman" w:hAnsi="Times New Roman" w:cs="Times New Roman"/>
                <w:kern w:val="0"/>
                <w:sz w:val="22"/>
              </w:rPr>
            </w:pPr>
            <w:r>
              <w:rPr>
                <w:rFonts w:ascii="Times New Roman" w:hAnsi="Times New Roman" w:cs="Times New Roman"/>
                <w:kern w:val="0"/>
                <w:sz w:val="22"/>
              </w:rPr>
              <w:t>2</w:t>
            </w:r>
            <w:r>
              <w:rPr>
                <w:rFonts w:ascii="Times New Roman" w:hAnsi="Times New Roman" w:cs="Times New Roman"/>
                <w:kern w:val="0"/>
                <w:sz w:val="22"/>
              </w:rPr>
              <w:t>、车辆（台、辆）</w:t>
            </w:r>
          </w:p>
        </w:tc>
        <w:tc>
          <w:tcPr>
            <w:tcW w:w="3155" w:type="dxa"/>
            <w:tcBorders>
              <w:top w:val="nil"/>
              <w:left w:val="nil"/>
              <w:bottom w:val="single" w:sz="4" w:space="0" w:color="auto"/>
              <w:right w:val="single" w:sz="4" w:space="0" w:color="auto"/>
            </w:tcBorders>
            <w:vAlign w:val="center"/>
          </w:tcPr>
          <w:p w:rsidR="0023060E" w:rsidRDefault="00895E82">
            <w:pPr>
              <w:widowControl/>
              <w:jc w:val="center"/>
              <w:rPr>
                <w:rFonts w:ascii="Times New Roman" w:hAnsi="Times New Roman" w:cs="Times New Roman"/>
                <w:kern w:val="0"/>
                <w:sz w:val="22"/>
              </w:rPr>
            </w:pPr>
            <w:r>
              <w:rPr>
                <w:rFonts w:ascii="Times New Roman" w:hAnsi="Times New Roman" w:cs="Times New Roman"/>
                <w:kern w:val="0"/>
                <w:sz w:val="22"/>
              </w:rPr>
              <w:t>7</w:t>
            </w:r>
          </w:p>
        </w:tc>
        <w:tc>
          <w:tcPr>
            <w:tcW w:w="5103" w:type="dxa"/>
            <w:tcBorders>
              <w:top w:val="nil"/>
              <w:left w:val="nil"/>
              <w:bottom w:val="single" w:sz="4" w:space="0" w:color="auto"/>
              <w:right w:val="single" w:sz="4" w:space="0" w:color="auto"/>
            </w:tcBorders>
            <w:vAlign w:val="center"/>
          </w:tcPr>
          <w:p w:rsidR="0023060E" w:rsidRDefault="00895E82">
            <w:pPr>
              <w:widowControl/>
              <w:jc w:val="center"/>
              <w:rPr>
                <w:rFonts w:ascii="Times New Roman" w:hAnsi="Times New Roman" w:cs="Times New Roman"/>
                <w:kern w:val="0"/>
                <w:sz w:val="22"/>
              </w:rPr>
            </w:pPr>
            <w:r>
              <w:rPr>
                <w:rFonts w:ascii="Times New Roman" w:hAnsi="Times New Roman" w:cs="Times New Roman" w:hint="eastAsia"/>
                <w:kern w:val="0"/>
                <w:sz w:val="22"/>
              </w:rPr>
              <w:t>100.7</w:t>
            </w:r>
          </w:p>
        </w:tc>
      </w:tr>
      <w:tr w:rsidR="0023060E">
        <w:trPr>
          <w:trHeight w:val="645"/>
        </w:trPr>
        <w:tc>
          <w:tcPr>
            <w:tcW w:w="5224" w:type="dxa"/>
            <w:tcBorders>
              <w:top w:val="nil"/>
              <w:left w:val="single" w:sz="4" w:space="0" w:color="auto"/>
              <w:bottom w:val="single" w:sz="4" w:space="0" w:color="auto"/>
              <w:right w:val="single" w:sz="4" w:space="0" w:color="auto"/>
            </w:tcBorders>
            <w:vAlign w:val="center"/>
          </w:tcPr>
          <w:p w:rsidR="0023060E" w:rsidRDefault="00895E82">
            <w:pPr>
              <w:widowControl/>
              <w:jc w:val="left"/>
              <w:rPr>
                <w:rFonts w:ascii="Times New Roman" w:hAnsi="Times New Roman" w:cs="Times New Roman"/>
                <w:kern w:val="0"/>
                <w:sz w:val="22"/>
              </w:rPr>
            </w:pPr>
            <w:r>
              <w:rPr>
                <w:rFonts w:ascii="Times New Roman" w:hAnsi="Times New Roman" w:cs="Times New Roman"/>
                <w:kern w:val="0"/>
                <w:sz w:val="22"/>
              </w:rPr>
              <w:t>3</w:t>
            </w:r>
            <w:r>
              <w:rPr>
                <w:rFonts w:ascii="Times New Roman" w:hAnsi="Times New Roman" w:cs="Times New Roman"/>
                <w:kern w:val="0"/>
                <w:sz w:val="22"/>
              </w:rPr>
              <w:t>、单价在</w:t>
            </w:r>
            <w:r>
              <w:rPr>
                <w:rFonts w:ascii="Times New Roman" w:hAnsi="Times New Roman" w:cs="Times New Roman"/>
                <w:kern w:val="0"/>
                <w:sz w:val="22"/>
              </w:rPr>
              <w:t>20</w:t>
            </w:r>
            <w:r>
              <w:rPr>
                <w:rFonts w:ascii="Times New Roman" w:hAnsi="Times New Roman" w:cs="Times New Roman"/>
                <w:kern w:val="0"/>
                <w:sz w:val="22"/>
              </w:rPr>
              <w:t>万元以上设备</w:t>
            </w:r>
          </w:p>
        </w:tc>
        <w:tc>
          <w:tcPr>
            <w:tcW w:w="3155" w:type="dxa"/>
            <w:tcBorders>
              <w:top w:val="nil"/>
              <w:left w:val="nil"/>
              <w:bottom w:val="single" w:sz="4" w:space="0" w:color="auto"/>
              <w:right w:val="single" w:sz="4" w:space="0" w:color="auto"/>
            </w:tcBorders>
            <w:vAlign w:val="center"/>
          </w:tcPr>
          <w:p w:rsidR="0023060E" w:rsidRDefault="00895E82">
            <w:pPr>
              <w:widowControl/>
              <w:jc w:val="center"/>
              <w:rPr>
                <w:rFonts w:ascii="Times New Roman" w:hAnsi="Times New Roman" w:cs="Times New Roman"/>
                <w:kern w:val="0"/>
                <w:sz w:val="22"/>
              </w:rPr>
            </w:pPr>
            <w:r>
              <w:rPr>
                <w:rFonts w:ascii="Times New Roman"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23060E" w:rsidRDefault="0023060E">
            <w:pPr>
              <w:widowControl/>
              <w:jc w:val="center"/>
              <w:rPr>
                <w:rFonts w:ascii="Times New Roman" w:hAnsi="Times New Roman" w:cs="Times New Roman"/>
                <w:kern w:val="0"/>
                <w:sz w:val="22"/>
              </w:rPr>
            </w:pPr>
          </w:p>
        </w:tc>
      </w:tr>
      <w:tr w:rsidR="0023060E">
        <w:trPr>
          <w:trHeight w:val="645"/>
        </w:trPr>
        <w:tc>
          <w:tcPr>
            <w:tcW w:w="5224" w:type="dxa"/>
            <w:tcBorders>
              <w:top w:val="nil"/>
              <w:left w:val="single" w:sz="4" w:space="0" w:color="auto"/>
              <w:bottom w:val="single" w:sz="4" w:space="0" w:color="auto"/>
              <w:right w:val="single" w:sz="4" w:space="0" w:color="auto"/>
            </w:tcBorders>
            <w:vAlign w:val="center"/>
          </w:tcPr>
          <w:p w:rsidR="0023060E" w:rsidRDefault="00895E82">
            <w:pPr>
              <w:widowControl/>
              <w:jc w:val="left"/>
              <w:rPr>
                <w:rFonts w:ascii="Times New Roman" w:hAnsi="Times New Roman" w:cs="Times New Roman"/>
                <w:kern w:val="0"/>
                <w:sz w:val="22"/>
              </w:rPr>
            </w:pPr>
            <w:r>
              <w:rPr>
                <w:rFonts w:ascii="Times New Roman" w:hAnsi="Times New Roman" w:cs="Times New Roman"/>
                <w:kern w:val="0"/>
                <w:sz w:val="22"/>
              </w:rPr>
              <w:t>4</w:t>
            </w:r>
            <w:r>
              <w:rPr>
                <w:rFonts w:ascii="Times New Roman" w:hAnsi="Times New Roman" w:cs="Times New Roman"/>
                <w:kern w:val="0"/>
                <w:sz w:val="22"/>
              </w:rPr>
              <w:t>、其他固定资产</w:t>
            </w:r>
          </w:p>
        </w:tc>
        <w:tc>
          <w:tcPr>
            <w:tcW w:w="3155" w:type="dxa"/>
            <w:tcBorders>
              <w:top w:val="nil"/>
              <w:left w:val="nil"/>
              <w:bottom w:val="single" w:sz="4" w:space="0" w:color="auto"/>
              <w:right w:val="single" w:sz="4" w:space="0" w:color="auto"/>
            </w:tcBorders>
            <w:vAlign w:val="center"/>
          </w:tcPr>
          <w:p w:rsidR="0023060E" w:rsidRDefault="00895E82">
            <w:pPr>
              <w:widowControl/>
              <w:jc w:val="center"/>
              <w:rPr>
                <w:rFonts w:ascii="Times New Roman" w:hAnsi="Times New Roman" w:cs="Times New Roman"/>
                <w:kern w:val="0"/>
                <w:sz w:val="22"/>
              </w:rPr>
            </w:pPr>
            <w:r>
              <w:rPr>
                <w:rFonts w:ascii="Times New Roman"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23060E" w:rsidRDefault="00895E82">
            <w:pPr>
              <w:widowControl/>
              <w:jc w:val="center"/>
              <w:rPr>
                <w:rFonts w:ascii="Times New Roman" w:hAnsi="Times New Roman" w:cs="Times New Roman"/>
                <w:kern w:val="0"/>
                <w:sz w:val="22"/>
              </w:rPr>
            </w:pPr>
            <w:r>
              <w:rPr>
                <w:rFonts w:ascii="Times New Roman" w:hAnsi="Times New Roman" w:cs="Times New Roman" w:hint="eastAsia"/>
                <w:kern w:val="0"/>
                <w:sz w:val="22"/>
              </w:rPr>
              <w:t>1723.38</w:t>
            </w:r>
          </w:p>
        </w:tc>
      </w:tr>
    </w:tbl>
    <w:p w:rsidR="0023060E" w:rsidRDefault="00895E82">
      <w:pPr>
        <w:rPr>
          <w:rFonts w:ascii="Times New Roman" w:eastAsia="仿宋_GB2312" w:hAnsi="Times New Roman" w:cs="Times New Roman"/>
          <w:sz w:val="32"/>
          <w:szCs w:val="32"/>
        </w:rPr>
      </w:pPr>
      <w:r>
        <w:rPr>
          <w:rFonts w:ascii="Times New Roman" w:eastAsia="仿宋_GB2312" w:hAnsi="Times New Roman" w:cs="Times New Roman"/>
          <w:sz w:val="32"/>
          <w:szCs w:val="32"/>
        </w:rPr>
        <w:t>说明：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、实有车辆</w:t>
      </w:r>
      <w:r>
        <w:rPr>
          <w:rFonts w:ascii="Times New Roman" w:eastAsia="仿宋_GB2312" w:hAnsi="Times New Roman" w:cs="Times New Roman"/>
          <w:sz w:val="32"/>
          <w:szCs w:val="32"/>
        </w:rPr>
        <w:t>7</w:t>
      </w:r>
      <w:r>
        <w:rPr>
          <w:rFonts w:ascii="Times New Roman" w:eastAsia="仿宋_GB2312" w:hAnsi="Times New Roman" w:cs="Times New Roman"/>
          <w:sz w:val="32"/>
          <w:szCs w:val="32"/>
        </w:rPr>
        <w:t>辆，为公车改革按规定手续的车辆。</w:t>
      </w:r>
    </w:p>
    <w:p w:rsidR="0023060E" w:rsidRDefault="00895E82">
      <w:pPr>
        <w:ind w:firstLine="640"/>
        <w:rPr>
          <w:rFonts w:ascii="Times New Roman" w:eastAsia="黑体" w:hAnsi="Times New Roman" w:cs="Times New Roman"/>
          <w:sz w:val="32"/>
          <w:szCs w:val="32"/>
        </w:rPr>
      </w:pPr>
      <w:r>
        <w:rPr>
          <w:rFonts w:ascii="Times New Roman" w:eastAsia="黑体" w:hAnsi="Times New Roman" w:cs="Times New Roman"/>
          <w:sz w:val="32"/>
          <w:szCs w:val="32"/>
        </w:rPr>
        <w:t>八、名词解释</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、一般预算收入：指区级财政当年拨付的资金。</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、基本支出：指为保障机构正常运转、完成日常工作任务而发生的人员支出和公用支出。</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3</w:t>
      </w:r>
      <w:r>
        <w:rPr>
          <w:rFonts w:ascii="Times New Roman" w:eastAsia="方正仿宋简体" w:hAnsi="Times New Roman" w:cs="Times New Roman"/>
          <w:sz w:val="32"/>
          <w:szCs w:val="32"/>
        </w:rPr>
        <w:t>、项目支出：指在基本支出之外为完成特定行政任务和事业发展目标所发生的支出。</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rsidR="0023060E" w:rsidRDefault="00895E82">
      <w:pPr>
        <w:ind w:firstLine="640"/>
        <w:rPr>
          <w:rFonts w:ascii="Times New Roman" w:eastAsia="黑体" w:hAnsi="Times New Roman" w:cs="Times New Roman"/>
          <w:sz w:val="32"/>
          <w:szCs w:val="32"/>
        </w:rPr>
      </w:pPr>
      <w:r>
        <w:rPr>
          <w:rFonts w:ascii="Times New Roman" w:eastAsia="黑体" w:hAnsi="Times New Roman" w:cs="Times New Roman"/>
          <w:sz w:val="32"/>
          <w:szCs w:val="32"/>
        </w:rPr>
        <w:t>九、其他需要说明的事项</w:t>
      </w:r>
    </w:p>
    <w:p w:rsidR="0023060E" w:rsidRDefault="00895E82">
      <w:pPr>
        <w:snapToGrid w:val="0"/>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无</w:t>
      </w:r>
    </w:p>
    <w:p w:rsidR="0023060E" w:rsidRDefault="0023060E">
      <w:pPr>
        <w:snapToGrid w:val="0"/>
        <w:spacing w:line="520" w:lineRule="exact"/>
        <w:ind w:firstLineChars="200" w:firstLine="640"/>
        <w:rPr>
          <w:rFonts w:ascii="Times New Roman" w:eastAsia="方正仿宋简体" w:hAnsi="Times New Roman" w:cs="Times New Roman"/>
          <w:sz w:val="32"/>
          <w:szCs w:val="32"/>
        </w:rPr>
      </w:pPr>
    </w:p>
    <w:p w:rsidR="0023060E" w:rsidRDefault="0023060E">
      <w:pPr>
        <w:snapToGrid w:val="0"/>
        <w:spacing w:line="520" w:lineRule="exact"/>
        <w:ind w:firstLineChars="200" w:firstLine="640"/>
        <w:rPr>
          <w:rFonts w:ascii="Times New Roman" w:eastAsia="方正仿宋简体" w:hAnsi="Times New Roman" w:cs="Times New Roman"/>
          <w:sz w:val="32"/>
          <w:szCs w:val="32"/>
        </w:rPr>
      </w:pPr>
    </w:p>
    <w:p w:rsidR="0023060E" w:rsidRDefault="0023060E">
      <w:pPr>
        <w:snapToGrid w:val="0"/>
        <w:spacing w:line="520" w:lineRule="exact"/>
        <w:ind w:firstLineChars="200" w:firstLine="640"/>
        <w:rPr>
          <w:rFonts w:ascii="Times New Roman" w:eastAsia="方正仿宋简体" w:hAnsi="Times New Roman" w:cs="Times New Roman"/>
          <w:sz w:val="32"/>
          <w:szCs w:val="32"/>
        </w:rPr>
      </w:pPr>
    </w:p>
    <w:p w:rsidR="0023060E" w:rsidRDefault="0023060E">
      <w:pPr>
        <w:snapToGrid w:val="0"/>
        <w:spacing w:line="520" w:lineRule="exact"/>
        <w:ind w:firstLineChars="200" w:firstLine="640"/>
        <w:rPr>
          <w:rFonts w:ascii="Times New Roman" w:eastAsia="方正仿宋简体" w:hAnsi="Times New Roman" w:cs="Times New Roman"/>
          <w:sz w:val="32"/>
          <w:szCs w:val="32"/>
        </w:rPr>
      </w:pPr>
    </w:p>
    <w:p w:rsidR="0023060E" w:rsidRDefault="0023060E">
      <w:pPr>
        <w:snapToGrid w:val="0"/>
        <w:spacing w:line="520" w:lineRule="exact"/>
        <w:ind w:firstLineChars="200" w:firstLine="640"/>
        <w:rPr>
          <w:rFonts w:ascii="Times New Roman" w:eastAsia="方正仿宋简体" w:hAnsi="Times New Roman" w:cs="Times New Roman"/>
          <w:sz w:val="32"/>
          <w:szCs w:val="32"/>
        </w:rPr>
      </w:pPr>
    </w:p>
    <w:p w:rsidR="0023060E" w:rsidRDefault="0023060E">
      <w:pPr>
        <w:snapToGrid w:val="0"/>
        <w:spacing w:line="520" w:lineRule="exact"/>
        <w:ind w:firstLineChars="200" w:firstLine="640"/>
        <w:rPr>
          <w:rFonts w:ascii="Times New Roman" w:eastAsia="方正仿宋简体" w:hAnsi="Times New Roman" w:cs="Times New Roman"/>
          <w:sz w:val="32"/>
          <w:szCs w:val="32"/>
        </w:rPr>
      </w:pPr>
    </w:p>
    <w:p w:rsidR="0023060E" w:rsidRDefault="0023060E">
      <w:pPr>
        <w:snapToGrid w:val="0"/>
        <w:spacing w:line="520" w:lineRule="exact"/>
        <w:ind w:firstLineChars="200" w:firstLine="640"/>
        <w:rPr>
          <w:rFonts w:ascii="Times New Roman" w:eastAsia="方正仿宋简体" w:hAnsi="Times New Roman" w:cs="Times New Roman"/>
          <w:sz w:val="32"/>
          <w:szCs w:val="32"/>
        </w:rPr>
      </w:pPr>
    </w:p>
    <w:p w:rsidR="0023060E" w:rsidRDefault="0023060E">
      <w:pPr>
        <w:snapToGrid w:val="0"/>
        <w:spacing w:line="520" w:lineRule="exact"/>
        <w:ind w:firstLineChars="200" w:firstLine="640"/>
        <w:rPr>
          <w:rFonts w:ascii="Times New Roman" w:eastAsia="方正仿宋简体" w:hAnsi="Times New Roman" w:cs="Times New Roman"/>
          <w:sz w:val="32"/>
          <w:szCs w:val="32"/>
        </w:rPr>
      </w:pPr>
    </w:p>
    <w:p w:rsidR="0023060E" w:rsidRDefault="0023060E">
      <w:pPr>
        <w:snapToGrid w:val="0"/>
        <w:spacing w:line="520" w:lineRule="exact"/>
        <w:ind w:firstLineChars="200" w:firstLine="640"/>
        <w:rPr>
          <w:rFonts w:ascii="Times New Roman" w:eastAsia="方正仿宋简体" w:hAnsi="Times New Roman" w:cs="Times New Roman"/>
          <w:sz w:val="32"/>
          <w:szCs w:val="32"/>
        </w:rPr>
      </w:pPr>
    </w:p>
    <w:p w:rsidR="0023060E" w:rsidRDefault="0023060E"/>
    <w:sectPr w:rsidR="0023060E" w:rsidSect="0023060E">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533" w:rsidRDefault="00C63533" w:rsidP="00BF67C3">
      <w:r>
        <w:separator/>
      </w:r>
    </w:p>
  </w:endnote>
  <w:endnote w:type="continuationSeparator" w:id="1">
    <w:p w:rsidR="00C63533" w:rsidRDefault="00C63533" w:rsidP="00BF6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楷体_GBK">
    <w:altName w:val="宋体"/>
    <w:charset w:val="86"/>
    <w:family w:val="roman"/>
    <w:pitch w:val="default"/>
    <w:sig w:usb0="00000000" w:usb1="00000000" w:usb2="00000000" w:usb3="00000000" w:csb0="00040001" w:csb1="00000000"/>
  </w:font>
  <w:font w:name="方正仿宋_GBK">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533" w:rsidRDefault="00C63533" w:rsidP="00BF67C3">
      <w:r>
        <w:separator/>
      </w:r>
    </w:p>
  </w:footnote>
  <w:footnote w:type="continuationSeparator" w:id="1">
    <w:p w:rsidR="00C63533" w:rsidRDefault="00C63533" w:rsidP="00BF67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3DD68E"/>
    <w:multiLevelType w:val="singleLevel"/>
    <w:tmpl w:val="803DD68E"/>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78E6941"/>
    <w:rsid w:val="0023060E"/>
    <w:rsid w:val="00775D64"/>
    <w:rsid w:val="00895E82"/>
    <w:rsid w:val="00A62DEF"/>
    <w:rsid w:val="00AE55FB"/>
    <w:rsid w:val="00BF67C3"/>
    <w:rsid w:val="00C63533"/>
    <w:rsid w:val="0DB36F96"/>
    <w:rsid w:val="25FC42A5"/>
    <w:rsid w:val="2B857AB3"/>
    <w:rsid w:val="38253596"/>
    <w:rsid w:val="478E6941"/>
    <w:rsid w:val="4CFF05F9"/>
    <w:rsid w:val="52FE6B16"/>
    <w:rsid w:val="5A883187"/>
    <w:rsid w:val="5F3F12C1"/>
    <w:rsid w:val="6A145E8A"/>
    <w:rsid w:val="6BF975BA"/>
    <w:rsid w:val="6C9402E3"/>
    <w:rsid w:val="719A26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060E"/>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23060E"/>
    <w:rPr>
      <w:sz w:val="21"/>
      <w:szCs w:val="21"/>
    </w:rPr>
  </w:style>
  <w:style w:type="paragraph" w:styleId="a4">
    <w:name w:val="header"/>
    <w:basedOn w:val="a"/>
    <w:link w:val="Char"/>
    <w:rsid w:val="00BF67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F67C3"/>
    <w:rPr>
      <w:rFonts w:cs="黑体"/>
      <w:kern w:val="2"/>
      <w:sz w:val="18"/>
      <w:szCs w:val="18"/>
    </w:rPr>
  </w:style>
  <w:style w:type="paragraph" w:styleId="a5">
    <w:name w:val="footer"/>
    <w:basedOn w:val="a"/>
    <w:link w:val="Char0"/>
    <w:rsid w:val="00BF67C3"/>
    <w:pPr>
      <w:tabs>
        <w:tab w:val="center" w:pos="4153"/>
        <w:tab w:val="right" w:pos="8306"/>
      </w:tabs>
      <w:snapToGrid w:val="0"/>
      <w:jc w:val="left"/>
    </w:pPr>
    <w:rPr>
      <w:sz w:val="18"/>
      <w:szCs w:val="18"/>
    </w:rPr>
  </w:style>
  <w:style w:type="character" w:customStyle="1" w:styleId="Char0">
    <w:name w:val="页脚 Char"/>
    <w:basedOn w:val="a0"/>
    <w:link w:val="a5"/>
    <w:rsid w:val="00BF67C3"/>
    <w:rPr>
      <w:rFonts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53</Pages>
  <Words>4909</Words>
  <Characters>27987</Characters>
  <Application>Microsoft Office Word</Application>
  <DocSecurity>0</DocSecurity>
  <Lines>233</Lines>
  <Paragraphs>65</Paragraphs>
  <ScaleCrop>false</ScaleCrop>
  <Company>Hewlett-Packard Company</Company>
  <LinksUpToDate>false</LinksUpToDate>
  <CharactersWithSpaces>32831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ssss</dc:creator>
  <cp:lastModifiedBy>Hewlett-Packard Company</cp:lastModifiedBy>
  <cp:revision>3</cp:revision>
  <cp:lastPrinted>2019-02-28T07:30:00Z</cp:lastPrinted>
  <dcterms:created xsi:type="dcterms:W3CDTF">2019-02-28T01:45:00Z</dcterms:created>
  <dcterms:modified xsi:type="dcterms:W3CDTF">2019-03-14T07:15:00Z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