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25" w:rsidRDefault="00F11C9E">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北戴河新区发展年改革局2018年部门预算信息公开说明</w:t>
      </w:r>
    </w:p>
    <w:p w:rsidR="00991125" w:rsidRDefault="00F11C9E">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按照《预算法》、《地方预决算公开操作规程》和《河北省省级预算公开办法》规定，现将2018年部门预算公开如下：</w:t>
      </w:r>
    </w:p>
    <w:p w:rsidR="00991125" w:rsidRDefault="00F11C9E">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991125" w:rsidRPr="00C7570A" w:rsidRDefault="00F11C9E">
      <w:pPr>
        <w:snapToGrid w:val="0"/>
        <w:spacing w:line="520" w:lineRule="exact"/>
        <w:ind w:firstLineChars="200" w:firstLine="643"/>
        <w:rPr>
          <w:rFonts w:ascii="方正仿宋简体" w:eastAsia="方正仿宋简体" w:hAnsi="Times New Roman" w:cs="Times New Roman"/>
          <w:sz w:val="32"/>
          <w:szCs w:val="32"/>
        </w:rPr>
      </w:pPr>
      <w:r>
        <w:rPr>
          <w:rFonts w:ascii="方正仿宋简体" w:eastAsia="方正仿宋简体" w:hAnsi="Times New Roman" w:cs="Times New Roman" w:hint="eastAsia"/>
          <w:b/>
          <w:sz w:val="32"/>
          <w:szCs w:val="32"/>
        </w:rPr>
        <w:t>部门</w:t>
      </w:r>
      <w:r>
        <w:rPr>
          <w:rFonts w:ascii="方正仿宋简体" w:eastAsia="方正仿宋简体" w:hAnsi="Times New Roman" w:cs="Times New Roman"/>
          <w:b/>
          <w:sz w:val="32"/>
          <w:szCs w:val="32"/>
        </w:rPr>
        <w:t>职责：</w:t>
      </w:r>
      <w:r w:rsidRPr="00C7570A">
        <w:rPr>
          <w:rFonts w:ascii="方正仿宋简体" w:eastAsia="方正仿宋简体" w:hAnsi="Times New Roman" w:cs="Times New Roman" w:hint="eastAsia"/>
          <w:sz w:val="32"/>
          <w:szCs w:val="32"/>
        </w:rPr>
        <w:t>（一）负责拟订并组织实施经济和社会发展战略、中长期规划和年度计划，统筹协调经济社会发展，提出新区国民经济发展和优化经济结构的目标、政策。</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（二）负责贯彻执行国家、省、市产业政策，研究提出产业发展规划和产业政策，并监督执行。</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（三）负责监测分析经济运行形势，提出对策建议。</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（四）负责拟订固定资产投资总规模和结构调控专项规划，组织申报省、市重点项目，向上争取政策资金，管理区级重大项目库并组织开展重点项目稽察。</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（五）</w:t>
      </w:r>
      <w:r w:rsidRPr="00C7570A">
        <w:rPr>
          <w:rFonts w:ascii="方正仿宋简体" w:eastAsia="方正仿宋简体" w:hAnsi="Times New Roman" w:cs="Times New Roman"/>
          <w:sz w:val="32"/>
          <w:szCs w:val="32"/>
        </w:rPr>
        <w:t>负责配合市有关部门做好重点项目考核，组织</w:t>
      </w:r>
      <w:r w:rsidRPr="00C7570A">
        <w:rPr>
          <w:rFonts w:ascii="方正仿宋简体" w:eastAsia="方正仿宋简体" w:hAnsi="Times New Roman" w:cs="Times New Roman" w:hint="eastAsia"/>
          <w:sz w:val="32"/>
          <w:szCs w:val="32"/>
        </w:rPr>
        <w:t>新</w:t>
      </w:r>
      <w:r w:rsidRPr="00C7570A">
        <w:rPr>
          <w:rFonts w:ascii="方正仿宋简体" w:eastAsia="方正仿宋简体" w:hAnsi="Times New Roman" w:cs="Times New Roman"/>
          <w:sz w:val="32"/>
          <w:szCs w:val="32"/>
        </w:rPr>
        <w:t>区项目考核工作</w:t>
      </w:r>
      <w:r w:rsidRPr="00C7570A">
        <w:rPr>
          <w:rFonts w:ascii="方正仿宋简体" w:eastAsia="方正仿宋简体" w:hAnsi="Times New Roman" w:cs="Times New Roman" w:hint="eastAsia"/>
          <w:sz w:val="32"/>
          <w:szCs w:val="32"/>
        </w:rPr>
        <w:t>。</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（六）</w:t>
      </w:r>
      <w:r w:rsidRPr="00C7570A">
        <w:rPr>
          <w:rFonts w:ascii="方正仿宋简体" w:eastAsia="方正仿宋简体" w:hAnsi="Times New Roman" w:cs="Times New Roman"/>
          <w:sz w:val="32"/>
          <w:szCs w:val="32"/>
        </w:rPr>
        <w:t>负责社会发展和经济发展的政策衔接，研究提出促进就业、调整收入分配等方面的政策建议</w:t>
      </w:r>
      <w:r w:rsidRPr="00C7570A">
        <w:rPr>
          <w:rFonts w:ascii="方正仿宋简体" w:eastAsia="方正仿宋简体" w:hAnsi="Times New Roman" w:cs="Times New Roman" w:hint="eastAsia"/>
          <w:sz w:val="32"/>
          <w:szCs w:val="32"/>
        </w:rPr>
        <w:t>。</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（七）</w:t>
      </w:r>
      <w:r w:rsidRPr="00C7570A">
        <w:rPr>
          <w:rFonts w:ascii="方正仿宋简体" w:eastAsia="方正仿宋简体" w:hAnsi="Times New Roman" w:cs="Times New Roman"/>
          <w:sz w:val="32"/>
          <w:szCs w:val="32"/>
        </w:rPr>
        <w:t>负责组织开展节能减排工作</w:t>
      </w:r>
      <w:r w:rsidRPr="00C7570A">
        <w:rPr>
          <w:rFonts w:ascii="方正仿宋简体" w:eastAsia="方正仿宋简体" w:hAnsi="Times New Roman" w:cs="Times New Roman" w:hint="eastAsia"/>
          <w:sz w:val="32"/>
          <w:szCs w:val="32"/>
        </w:rPr>
        <w:t>。</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lastRenderedPageBreak/>
        <w:t>（八）</w:t>
      </w:r>
      <w:r w:rsidRPr="00C7570A">
        <w:rPr>
          <w:rFonts w:ascii="方正仿宋简体" w:eastAsia="方正仿宋简体" w:hAnsi="Times New Roman" w:cs="Times New Roman"/>
          <w:sz w:val="32"/>
          <w:szCs w:val="32"/>
        </w:rPr>
        <w:t>负责根据国家、省、市经济体制改革的总体部署，研究提出经济体制改革的实施意见，指导市场体系建设</w:t>
      </w:r>
      <w:r w:rsidRPr="00C7570A">
        <w:rPr>
          <w:rFonts w:ascii="方正仿宋简体" w:eastAsia="方正仿宋简体" w:hAnsi="Times New Roman" w:cs="Times New Roman" w:hint="eastAsia"/>
          <w:sz w:val="32"/>
          <w:szCs w:val="32"/>
        </w:rPr>
        <w:t>。</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（九）</w:t>
      </w:r>
      <w:r w:rsidRPr="00C7570A">
        <w:rPr>
          <w:rFonts w:ascii="方正仿宋简体" w:eastAsia="方正仿宋简体" w:hAnsi="Times New Roman" w:cs="Times New Roman"/>
          <w:sz w:val="32"/>
          <w:szCs w:val="32"/>
        </w:rPr>
        <w:t>负责统计、物价、工信、</w:t>
      </w:r>
      <w:r w:rsidRPr="00C7570A">
        <w:rPr>
          <w:rFonts w:ascii="方正仿宋简体" w:eastAsia="方正仿宋简体" w:hAnsi="Times New Roman" w:cs="Times New Roman" w:hint="eastAsia"/>
          <w:sz w:val="32"/>
          <w:szCs w:val="32"/>
        </w:rPr>
        <w:t>高新技术产业发展、</w:t>
      </w:r>
      <w:r w:rsidRPr="00C7570A">
        <w:rPr>
          <w:rFonts w:ascii="方正仿宋简体" w:eastAsia="方正仿宋简体" w:hAnsi="Times New Roman" w:cs="Times New Roman"/>
          <w:sz w:val="32"/>
          <w:szCs w:val="32"/>
        </w:rPr>
        <w:t>粮食、科技、地震、科协、生产力促进等工作</w:t>
      </w:r>
      <w:r w:rsidRPr="00C7570A">
        <w:rPr>
          <w:rFonts w:ascii="方正仿宋简体" w:eastAsia="方正仿宋简体" w:hAnsi="Times New Roman" w:cs="Times New Roman" w:hint="eastAsia"/>
          <w:sz w:val="32"/>
          <w:szCs w:val="32"/>
        </w:rPr>
        <w:t>。</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（十）</w:t>
      </w:r>
      <w:r w:rsidRPr="00C7570A">
        <w:rPr>
          <w:rFonts w:ascii="方正仿宋简体" w:eastAsia="方正仿宋简体" w:hAnsi="Times New Roman" w:cs="Times New Roman"/>
          <w:sz w:val="32"/>
          <w:szCs w:val="32"/>
        </w:rPr>
        <w:t>负责京津冀协同发展工作</w:t>
      </w:r>
      <w:r w:rsidRPr="00C7570A">
        <w:rPr>
          <w:rFonts w:ascii="方正仿宋简体" w:eastAsia="方正仿宋简体" w:hAnsi="Times New Roman" w:cs="Times New Roman" w:hint="eastAsia"/>
          <w:sz w:val="32"/>
          <w:szCs w:val="32"/>
        </w:rPr>
        <w:t>。</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（十一）</w:t>
      </w:r>
      <w:r w:rsidRPr="00C7570A">
        <w:rPr>
          <w:rFonts w:ascii="方正仿宋简体" w:eastAsia="方正仿宋简体" w:hAnsi="Times New Roman" w:cs="Times New Roman"/>
          <w:sz w:val="32"/>
          <w:szCs w:val="32"/>
        </w:rPr>
        <w:t>负责对接承办市重点项目建设领导小组办公室和市沿海地区开发建设领导小组办公室的工作</w:t>
      </w:r>
      <w:r w:rsidRPr="00C7570A">
        <w:rPr>
          <w:rFonts w:ascii="方正仿宋简体" w:eastAsia="方正仿宋简体" w:hAnsi="Times New Roman" w:cs="Times New Roman" w:hint="eastAsia"/>
          <w:sz w:val="32"/>
          <w:szCs w:val="32"/>
        </w:rPr>
        <w:t>。</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（十二）</w:t>
      </w:r>
      <w:r w:rsidRPr="00C7570A">
        <w:rPr>
          <w:rFonts w:ascii="方正仿宋简体" w:eastAsia="方正仿宋简体" w:hAnsi="Times New Roman" w:cs="Times New Roman"/>
          <w:sz w:val="32"/>
          <w:szCs w:val="32"/>
        </w:rPr>
        <w:t>负责贯彻落实国家、省、市国防经济动员办公室关于经济动员工作的方针、政策，组织有关部门开展相关工作；组织编制</w:t>
      </w:r>
      <w:r w:rsidRPr="00C7570A">
        <w:rPr>
          <w:rFonts w:ascii="方正仿宋简体" w:eastAsia="方正仿宋简体" w:hAnsi="Times New Roman" w:cs="Times New Roman" w:hint="eastAsia"/>
          <w:sz w:val="32"/>
          <w:szCs w:val="32"/>
        </w:rPr>
        <w:t>新</w:t>
      </w:r>
      <w:r w:rsidRPr="00C7570A">
        <w:rPr>
          <w:rFonts w:ascii="方正仿宋简体" w:eastAsia="方正仿宋简体" w:hAnsi="Times New Roman" w:cs="Times New Roman"/>
          <w:sz w:val="32"/>
          <w:szCs w:val="32"/>
        </w:rPr>
        <w:t>区国民经济动员中长期规划和年度计划，并监督实施</w:t>
      </w:r>
      <w:r w:rsidRPr="00C7570A">
        <w:rPr>
          <w:rFonts w:ascii="方正仿宋简体" w:eastAsia="方正仿宋简体" w:hAnsi="Times New Roman" w:cs="Times New Roman" w:hint="eastAsia"/>
          <w:sz w:val="32"/>
          <w:szCs w:val="32"/>
        </w:rPr>
        <w:t>。</w:t>
      </w:r>
    </w:p>
    <w:p w:rsidR="00991125" w:rsidRPr="00C7570A" w:rsidRDefault="00F11C9E" w:rsidP="00C7570A">
      <w:pPr>
        <w:snapToGrid w:val="0"/>
        <w:spacing w:line="520" w:lineRule="exact"/>
        <w:ind w:firstLineChars="200" w:firstLine="640"/>
        <w:rPr>
          <w:rFonts w:ascii="方正仿宋简体" w:eastAsia="方正仿宋简体" w:hAnsi="Times New Roman" w:cs="Times New Roman"/>
          <w:sz w:val="32"/>
          <w:szCs w:val="32"/>
        </w:rPr>
      </w:pPr>
      <w:r w:rsidRPr="00C7570A">
        <w:rPr>
          <w:rFonts w:ascii="方正仿宋简体" w:eastAsia="方正仿宋简体" w:hAnsi="Times New Roman" w:cs="Times New Roman" w:hint="eastAsia"/>
          <w:sz w:val="32"/>
          <w:szCs w:val="32"/>
        </w:rPr>
        <w:t>（十三）</w:t>
      </w:r>
      <w:r w:rsidRPr="00C7570A">
        <w:rPr>
          <w:rFonts w:ascii="方正仿宋简体" w:eastAsia="方正仿宋简体" w:hAnsi="Times New Roman" w:cs="Times New Roman"/>
          <w:sz w:val="32"/>
          <w:szCs w:val="32"/>
        </w:rPr>
        <w:t>负责承办新区党工委、管委会交办的其他事项。</w:t>
      </w:r>
    </w:p>
    <w:p w:rsidR="00991125" w:rsidRDefault="00991125">
      <w:pPr>
        <w:snapToGrid w:val="0"/>
        <w:spacing w:line="520" w:lineRule="exact"/>
        <w:ind w:firstLineChars="200" w:firstLine="640"/>
        <w:rPr>
          <w:rFonts w:ascii="方正仿宋简体" w:eastAsia="方正仿宋简体" w:hAnsi="Times New Roman" w:cs="Times New Roman"/>
          <w:color w:val="FF0000"/>
          <w:sz w:val="32"/>
          <w:szCs w:val="32"/>
        </w:rPr>
      </w:pPr>
    </w:p>
    <w:p w:rsidR="00991125" w:rsidRDefault="00F11C9E">
      <w:pPr>
        <w:autoSpaceDE w:val="0"/>
        <w:autoSpaceDN w:val="0"/>
        <w:adjustRightInd w:val="0"/>
        <w:ind w:firstLineChars="200" w:firstLine="643"/>
        <w:jc w:val="left"/>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机构设置：</w:t>
      </w:r>
    </w:p>
    <w:p w:rsidR="00991125" w:rsidRDefault="00F11C9E">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991125">
        <w:trPr>
          <w:trHeight w:val="300"/>
          <w:tblHeader/>
          <w:jc w:val="center"/>
        </w:trPr>
        <w:tc>
          <w:tcPr>
            <w:tcW w:w="4417" w:type="dxa"/>
            <w:vMerge w:val="restart"/>
            <w:vAlign w:val="center"/>
          </w:tcPr>
          <w:p w:rsidR="00991125" w:rsidRDefault="00F11C9E">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991125" w:rsidRDefault="00F11C9E">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991125" w:rsidRDefault="00F11C9E">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991125" w:rsidRDefault="00F11C9E">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991125">
        <w:trPr>
          <w:trHeight w:val="300"/>
          <w:tblHeader/>
          <w:jc w:val="center"/>
        </w:trPr>
        <w:tc>
          <w:tcPr>
            <w:tcW w:w="4417" w:type="dxa"/>
            <w:vMerge/>
            <w:vAlign w:val="center"/>
          </w:tcPr>
          <w:p w:rsidR="00991125" w:rsidRDefault="00991125">
            <w:pPr>
              <w:spacing w:line="300" w:lineRule="exact"/>
              <w:jc w:val="left"/>
              <w:outlineLvl w:val="0"/>
              <w:rPr>
                <w:rFonts w:ascii="Times New Roman" w:hAnsi="Times New Roman" w:cs="Times New Roman"/>
                <w:szCs w:val="24"/>
              </w:rPr>
            </w:pPr>
          </w:p>
        </w:tc>
        <w:tc>
          <w:tcPr>
            <w:tcW w:w="1134" w:type="dxa"/>
            <w:vMerge/>
            <w:vAlign w:val="center"/>
          </w:tcPr>
          <w:p w:rsidR="00991125" w:rsidRDefault="00991125">
            <w:pPr>
              <w:spacing w:line="300" w:lineRule="exact"/>
              <w:jc w:val="left"/>
              <w:outlineLvl w:val="0"/>
              <w:rPr>
                <w:rFonts w:ascii="Times New Roman" w:hAnsi="Times New Roman" w:cs="Times New Roman"/>
                <w:szCs w:val="24"/>
              </w:rPr>
            </w:pPr>
          </w:p>
        </w:tc>
        <w:tc>
          <w:tcPr>
            <w:tcW w:w="1276" w:type="dxa"/>
            <w:vMerge/>
            <w:vAlign w:val="center"/>
          </w:tcPr>
          <w:p w:rsidR="00991125" w:rsidRDefault="00991125">
            <w:pPr>
              <w:spacing w:line="300" w:lineRule="exact"/>
              <w:jc w:val="left"/>
              <w:outlineLvl w:val="0"/>
              <w:rPr>
                <w:rFonts w:ascii="Times New Roman" w:hAnsi="Times New Roman" w:cs="Times New Roman"/>
                <w:szCs w:val="24"/>
              </w:rPr>
            </w:pPr>
          </w:p>
        </w:tc>
        <w:tc>
          <w:tcPr>
            <w:tcW w:w="2902" w:type="dxa"/>
            <w:vMerge/>
            <w:vAlign w:val="center"/>
          </w:tcPr>
          <w:p w:rsidR="00991125" w:rsidRDefault="00991125">
            <w:pPr>
              <w:spacing w:line="300" w:lineRule="exact"/>
              <w:jc w:val="left"/>
              <w:outlineLvl w:val="0"/>
              <w:rPr>
                <w:rFonts w:ascii="Times New Roman" w:hAnsi="Times New Roman" w:cs="Times New Roman"/>
                <w:szCs w:val="24"/>
              </w:rPr>
            </w:pPr>
          </w:p>
        </w:tc>
      </w:tr>
      <w:tr w:rsidR="00991125">
        <w:trPr>
          <w:trHeight w:val="227"/>
          <w:jc w:val="center"/>
        </w:trPr>
        <w:tc>
          <w:tcPr>
            <w:tcW w:w="4417" w:type="dxa"/>
            <w:vAlign w:val="center"/>
          </w:tcPr>
          <w:p w:rsidR="00991125" w:rsidRDefault="00F11C9E">
            <w:pPr>
              <w:spacing w:line="300" w:lineRule="exact"/>
              <w:jc w:val="left"/>
              <w:rPr>
                <w:rFonts w:ascii="Times New Roman" w:eastAsia="方正书宋_GBK" w:hAnsi="Times New Roman" w:cs="Times New Roman"/>
                <w:color w:val="FF0000"/>
                <w:szCs w:val="24"/>
              </w:rPr>
            </w:pPr>
            <w:r>
              <w:rPr>
                <w:rFonts w:ascii="Times New Roman" w:eastAsia="方正书宋_GBK" w:hAnsi="Times New Roman" w:cs="Times New Roman" w:hint="eastAsia"/>
                <w:color w:val="000000" w:themeColor="text1"/>
                <w:szCs w:val="24"/>
              </w:rPr>
              <w:t>北戴河新区发展改革局</w:t>
            </w:r>
          </w:p>
        </w:tc>
        <w:tc>
          <w:tcPr>
            <w:tcW w:w="1134" w:type="dxa"/>
            <w:vAlign w:val="center"/>
          </w:tcPr>
          <w:p w:rsidR="00991125" w:rsidRDefault="00F11C9E">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991125" w:rsidRDefault="00F11C9E">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902" w:type="dxa"/>
            <w:vAlign w:val="center"/>
          </w:tcPr>
          <w:p w:rsidR="00991125" w:rsidRDefault="00F11C9E">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991125">
        <w:trPr>
          <w:trHeight w:val="227"/>
          <w:jc w:val="center"/>
        </w:trPr>
        <w:tc>
          <w:tcPr>
            <w:tcW w:w="4417" w:type="dxa"/>
            <w:vAlign w:val="center"/>
          </w:tcPr>
          <w:p w:rsidR="00991125" w:rsidRDefault="00991125">
            <w:pPr>
              <w:spacing w:line="300" w:lineRule="exact"/>
              <w:jc w:val="left"/>
              <w:rPr>
                <w:rFonts w:ascii="方正书宋_GBK" w:eastAsia="方正书宋_GBK"/>
                <w:color w:val="FF0000"/>
              </w:rPr>
            </w:pPr>
          </w:p>
        </w:tc>
        <w:tc>
          <w:tcPr>
            <w:tcW w:w="1134" w:type="dxa"/>
            <w:vAlign w:val="center"/>
          </w:tcPr>
          <w:p w:rsidR="00991125" w:rsidRDefault="00991125">
            <w:pPr>
              <w:spacing w:line="300" w:lineRule="exact"/>
              <w:jc w:val="center"/>
              <w:rPr>
                <w:rFonts w:ascii="Times New Roman" w:eastAsia="方正书宋_GBK" w:hAnsi="Times New Roman" w:cs="Times New Roman"/>
                <w:szCs w:val="24"/>
              </w:rPr>
            </w:pPr>
          </w:p>
        </w:tc>
        <w:tc>
          <w:tcPr>
            <w:tcW w:w="1276" w:type="dxa"/>
            <w:vAlign w:val="center"/>
          </w:tcPr>
          <w:p w:rsidR="00991125" w:rsidRDefault="00991125">
            <w:pPr>
              <w:spacing w:line="300" w:lineRule="exact"/>
              <w:jc w:val="center"/>
              <w:rPr>
                <w:rFonts w:ascii="Times New Roman" w:eastAsia="方正书宋_GBK" w:hAnsi="Times New Roman" w:cs="Times New Roman"/>
                <w:szCs w:val="24"/>
              </w:rPr>
            </w:pPr>
          </w:p>
        </w:tc>
        <w:tc>
          <w:tcPr>
            <w:tcW w:w="2902" w:type="dxa"/>
            <w:vAlign w:val="center"/>
          </w:tcPr>
          <w:p w:rsidR="00991125" w:rsidRDefault="00991125">
            <w:pPr>
              <w:spacing w:line="300" w:lineRule="exact"/>
              <w:jc w:val="center"/>
              <w:rPr>
                <w:rFonts w:ascii="Times New Roman" w:eastAsia="方正书宋_GBK" w:hAnsi="Times New Roman" w:cs="Times New Roman"/>
                <w:szCs w:val="24"/>
              </w:rPr>
            </w:pPr>
          </w:p>
        </w:tc>
      </w:tr>
      <w:tr w:rsidR="00991125">
        <w:trPr>
          <w:trHeight w:val="227"/>
          <w:jc w:val="center"/>
        </w:trPr>
        <w:tc>
          <w:tcPr>
            <w:tcW w:w="4417" w:type="dxa"/>
            <w:vAlign w:val="center"/>
          </w:tcPr>
          <w:p w:rsidR="00991125" w:rsidRDefault="00991125">
            <w:pPr>
              <w:spacing w:line="300" w:lineRule="exact"/>
              <w:jc w:val="left"/>
              <w:rPr>
                <w:rFonts w:ascii="Times New Roman" w:eastAsia="方正书宋_GBK" w:hAnsi="Times New Roman" w:cs="Times New Roman"/>
                <w:szCs w:val="24"/>
              </w:rPr>
            </w:pPr>
          </w:p>
        </w:tc>
        <w:tc>
          <w:tcPr>
            <w:tcW w:w="1134" w:type="dxa"/>
            <w:vAlign w:val="center"/>
          </w:tcPr>
          <w:p w:rsidR="00991125" w:rsidRDefault="00991125">
            <w:pPr>
              <w:spacing w:line="300" w:lineRule="exact"/>
              <w:jc w:val="center"/>
              <w:rPr>
                <w:rFonts w:ascii="Times New Roman" w:eastAsia="方正书宋_GBK" w:hAnsi="Times New Roman" w:cs="Times New Roman"/>
                <w:szCs w:val="24"/>
              </w:rPr>
            </w:pPr>
          </w:p>
        </w:tc>
        <w:tc>
          <w:tcPr>
            <w:tcW w:w="1276" w:type="dxa"/>
            <w:vAlign w:val="center"/>
          </w:tcPr>
          <w:p w:rsidR="00991125" w:rsidRDefault="00991125">
            <w:pPr>
              <w:spacing w:line="300" w:lineRule="exact"/>
              <w:jc w:val="center"/>
              <w:rPr>
                <w:rFonts w:ascii="Times New Roman" w:eastAsia="方正书宋_GBK" w:hAnsi="Times New Roman" w:cs="Times New Roman"/>
                <w:szCs w:val="24"/>
              </w:rPr>
            </w:pPr>
          </w:p>
        </w:tc>
        <w:tc>
          <w:tcPr>
            <w:tcW w:w="2902" w:type="dxa"/>
            <w:vAlign w:val="center"/>
          </w:tcPr>
          <w:p w:rsidR="00991125" w:rsidRDefault="00991125">
            <w:pPr>
              <w:spacing w:line="300" w:lineRule="exact"/>
              <w:jc w:val="center"/>
              <w:rPr>
                <w:rFonts w:ascii="Times New Roman" w:eastAsia="方正书宋_GBK" w:hAnsi="Times New Roman" w:cs="Times New Roman"/>
                <w:szCs w:val="24"/>
              </w:rPr>
            </w:pPr>
          </w:p>
        </w:tc>
      </w:tr>
      <w:tr w:rsidR="00991125">
        <w:trPr>
          <w:trHeight w:val="227"/>
          <w:jc w:val="center"/>
        </w:trPr>
        <w:tc>
          <w:tcPr>
            <w:tcW w:w="4417" w:type="dxa"/>
            <w:vAlign w:val="center"/>
          </w:tcPr>
          <w:p w:rsidR="00991125" w:rsidRDefault="00991125">
            <w:pPr>
              <w:spacing w:line="300" w:lineRule="exact"/>
              <w:jc w:val="left"/>
              <w:rPr>
                <w:rFonts w:ascii="Times New Roman" w:eastAsia="方正书宋_GBK" w:hAnsi="Times New Roman" w:cs="Times New Roman"/>
                <w:szCs w:val="24"/>
              </w:rPr>
            </w:pPr>
          </w:p>
        </w:tc>
        <w:tc>
          <w:tcPr>
            <w:tcW w:w="1134" w:type="dxa"/>
            <w:vAlign w:val="center"/>
          </w:tcPr>
          <w:p w:rsidR="00991125" w:rsidRDefault="00991125">
            <w:pPr>
              <w:spacing w:line="300" w:lineRule="exact"/>
              <w:jc w:val="center"/>
              <w:rPr>
                <w:rFonts w:ascii="Times New Roman" w:eastAsia="方正书宋_GBK" w:hAnsi="Times New Roman" w:cs="Times New Roman"/>
                <w:szCs w:val="24"/>
              </w:rPr>
            </w:pPr>
          </w:p>
        </w:tc>
        <w:tc>
          <w:tcPr>
            <w:tcW w:w="1276" w:type="dxa"/>
            <w:vAlign w:val="center"/>
          </w:tcPr>
          <w:p w:rsidR="00991125" w:rsidRDefault="00991125">
            <w:pPr>
              <w:spacing w:line="300" w:lineRule="exact"/>
              <w:jc w:val="center"/>
              <w:rPr>
                <w:rFonts w:ascii="Times New Roman" w:eastAsia="方正书宋_GBK" w:hAnsi="Times New Roman" w:cs="Times New Roman"/>
                <w:szCs w:val="24"/>
              </w:rPr>
            </w:pPr>
          </w:p>
        </w:tc>
        <w:tc>
          <w:tcPr>
            <w:tcW w:w="2902" w:type="dxa"/>
            <w:vAlign w:val="center"/>
          </w:tcPr>
          <w:p w:rsidR="00991125" w:rsidRDefault="00991125">
            <w:pPr>
              <w:spacing w:line="300" w:lineRule="exact"/>
              <w:jc w:val="center"/>
              <w:rPr>
                <w:rFonts w:ascii="Times New Roman" w:eastAsia="方正书宋_GBK" w:hAnsi="Times New Roman" w:cs="Times New Roman"/>
                <w:szCs w:val="24"/>
              </w:rPr>
            </w:pPr>
          </w:p>
        </w:tc>
      </w:tr>
    </w:tbl>
    <w:p w:rsidR="00991125" w:rsidRDefault="00991125"/>
    <w:p w:rsidR="00991125" w:rsidRDefault="00F11C9E">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991125" w:rsidRDefault="00F11C9E">
      <w:pPr>
        <w:ind w:firstLine="640"/>
        <w:rPr>
          <w:rFonts w:ascii="方正仿宋简体" w:eastAsia="方正仿宋简体" w:hAnsi="Times New Roman" w:cs="Times New Roman"/>
          <w:color w:val="000000" w:themeColor="text1"/>
          <w:sz w:val="32"/>
          <w:szCs w:val="32"/>
        </w:rPr>
      </w:pPr>
      <w:r>
        <w:rPr>
          <w:rFonts w:ascii="方正仿宋简体" w:eastAsia="方正仿宋简体" w:hAnsi="Times New Roman" w:cs="Times New Roman"/>
          <w:sz w:val="32"/>
          <w:szCs w:val="32"/>
        </w:rPr>
        <w:t>按照预算管理有关规定，目前</w:t>
      </w:r>
      <w:r>
        <w:rPr>
          <w:rFonts w:ascii="方正仿宋简体" w:eastAsia="方正仿宋简体" w:hAnsi="Times New Roman" w:cs="Times New Roman" w:hint="eastAsia"/>
          <w:sz w:val="32"/>
          <w:szCs w:val="32"/>
        </w:rPr>
        <w:t>我区</w:t>
      </w:r>
      <w:r>
        <w:rPr>
          <w:rFonts w:ascii="方正仿宋简体" w:eastAsia="方正仿宋简体" w:hAnsi="Times New Roman" w:cs="Times New Roman"/>
          <w:sz w:val="32"/>
          <w:szCs w:val="32"/>
        </w:rPr>
        <w:t>部门预算的编制实行综合预算制度，即全部收入和支出都反映</w:t>
      </w:r>
      <w:r>
        <w:rPr>
          <w:rFonts w:ascii="方正仿宋简体" w:eastAsia="方正仿宋简体" w:hAnsi="Times New Roman" w:cs="Times New Roman" w:hint="eastAsia"/>
          <w:sz w:val="32"/>
          <w:szCs w:val="32"/>
        </w:rPr>
        <w:t>在</w:t>
      </w:r>
      <w:r>
        <w:rPr>
          <w:rFonts w:ascii="方正仿宋简体" w:eastAsia="方正仿宋简体" w:hAnsi="Times New Roman" w:cs="Times New Roman"/>
          <w:sz w:val="32"/>
          <w:szCs w:val="32"/>
        </w:rPr>
        <w:t>预算中。</w:t>
      </w:r>
      <w:r>
        <w:rPr>
          <w:rFonts w:ascii="方正仿宋简体" w:eastAsia="方正仿宋简体" w:hAnsi="Times New Roman" w:cs="Times New Roman" w:hint="eastAsia"/>
          <w:color w:val="000000" w:themeColor="text1"/>
          <w:sz w:val="32"/>
          <w:szCs w:val="32"/>
        </w:rPr>
        <w:t>发展改革局</w:t>
      </w:r>
      <w:r>
        <w:rPr>
          <w:rFonts w:ascii="方正仿宋简体" w:eastAsia="方正仿宋简体" w:hAnsi="Times New Roman" w:cs="Times New Roman"/>
          <w:color w:val="000000" w:themeColor="text1"/>
          <w:sz w:val="32"/>
          <w:szCs w:val="32"/>
        </w:rPr>
        <w:t>的收支包含在部门预算中。</w:t>
      </w:r>
    </w:p>
    <w:p w:rsidR="00991125" w:rsidRDefault="00F11C9E">
      <w:pPr>
        <w:ind w:firstLineChars="200" w:firstLine="643"/>
        <w:rPr>
          <w:rFonts w:ascii="方正仿宋简体" w:eastAsia="方正仿宋简体" w:hAnsi="Times New Roman" w:cs="Times New Roman"/>
          <w:b/>
          <w:color w:val="000000" w:themeColor="text1"/>
          <w:sz w:val="32"/>
          <w:szCs w:val="32"/>
        </w:rPr>
      </w:pPr>
      <w:r>
        <w:rPr>
          <w:rFonts w:ascii="方正仿宋简体" w:eastAsia="方正仿宋简体" w:hAnsi="Times New Roman" w:cs="Times New Roman" w:hint="eastAsia"/>
          <w:b/>
          <w:color w:val="000000" w:themeColor="text1"/>
          <w:sz w:val="32"/>
          <w:szCs w:val="32"/>
        </w:rPr>
        <w:t>1.</w:t>
      </w:r>
      <w:r>
        <w:rPr>
          <w:rFonts w:ascii="方正仿宋简体" w:eastAsia="方正仿宋简体" w:hAnsi="Times New Roman" w:cs="Times New Roman"/>
          <w:b/>
          <w:color w:val="000000" w:themeColor="text1"/>
          <w:sz w:val="32"/>
          <w:szCs w:val="32"/>
        </w:rPr>
        <w:t>收入说明</w:t>
      </w:r>
    </w:p>
    <w:p w:rsidR="00991125" w:rsidRDefault="00290527">
      <w:pPr>
        <w:ind w:firstLineChars="200" w:firstLine="640"/>
        <w:rPr>
          <w:rFonts w:ascii="方正仿宋简体" w:eastAsia="方正仿宋简体" w:hAnsi="Times New Roman" w:cs="Times New Roman"/>
          <w:color w:val="000000" w:themeColor="text1"/>
          <w:sz w:val="32"/>
          <w:szCs w:val="32"/>
        </w:rPr>
      </w:pPr>
      <w:r>
        <w:rPr>
          <w:rFonts w:ascii="方正仿宋简体" w:eastAsia="方正仿宋简体" w:hAnsi="Times New Roman" w:cs="Times New Roman" w:hint="eastAsia"/>
          <w:color w:val="000000" w:themeColor="text1"/>
          <w:sz w:val="32"/>
          <w:szCs w:val="32"/>
        </w:rPr>
        <w:t>反</w:t>
      </w:r>
      <w:r w:rsidR="00F11C9E">
        <w:rPr>
          <w:rFonts w:ascii="方正仿宋简体" w:eastAsia="方正仿宋简体" w:hAnsi="Times New Roman" w:cs="Times New Roman" w:hint="eastAsia"/>
          <w:color w:val="000000" w:themeColor="text1"/>
          <w:sz w:val="32"/>
          <w:szCs w:val="32"/>
        </w:rPr>
        <w:t>映本部门当年全部收入，2018年预算收入399.18万元，其中：一般公共预算拨款399.18万元。</w:t>
      </w:r>
    </w:p>
    <w:p w:rsidR="00991125" w:rsidRDefault="00F11C9E">
      <w:pPr>
        <w:ind w:left="640"/>
        <w:rPr>
          <w:rFonts w:ascii="方正仿宋简体" w:eastAsia="方正仿宋简体" w:hAnsi="Times New Roman" w:cs="Times New Roman"/>
          <w:b/>
          <w:color w:val="000000" w:themeColor="text1"/>
          <w:sz w:val="32"/>
          <w:szCs w:val="32"/>
        </w:rPr>
      </w:pPr>
      <w:r>
        <w:rPr>
          <w:rFonts w:ascii="方正仿宋简体" w:eastAsia="方正仿宋简体" w:hAnsi="Times New Roman" w:cs="Times New Roman" w:hint="eastAsia"/>
          <w:b/>
          <w:color w:val="000000" w:themeColor="text1"/>
          <w:sz w:val="32"/>
          <w:szCs w:val="32"/>
        </w:rPr>
        <w:t>2.</w:t>
      </w:r>
      <w:r>
        <w:rPr>
          <w:rFonts w:ascii="方正仿宋简体" w:eastAsia="方正仿宋简体" w:hAnsi="Times New Roman" w:cs="Times New Roman"/>
          <w:b/>
          <w:color w:val="000000" w:themeColor="text1"/>
          <w:sz w:val="32"/>
          <w:szCs w:val="32"/>
        </w:rPr>
        <w:t>支出说明</w:t>
      </w:r>
    </w:p>
    <w:p w:rsidR="00991125" w:rsidRDefault="00F11C9E">
      <w:pPr>
        <w:ind w:firstLineChars="150" w:firstLine="480"/>
        <w:rPr>
          <w:rFonts w:ascii="方正仿宋简体" w:eastAsia="方正仿宋简体" w:hAnsi="Times New Roman" w:cs="Times New Roman"/>
          <w:color w:val="000000" w:themeColor="text1"/>
          <w:sz w:val="32"/>
          <w:szCs w:val="32"/>
        </w:rPr>
      </w:pPr>
      <w:r>
        <w:rPr>
          <w:rFonts w:ascii="方正仿宋简体" w:eastAsia="方正仿宋简体" w:hAnsi="Times New Roman" w:cs="Times New Roman" w:hint="eastAsia"/>
          <w:color w:val="000000" w:themeColor="text1"/>
          <w:sz w:val="32"/>
          <w:szCs w:val="32"/>
        </w:rPr>
        <w:t>部门预算收支总表支出栏、基本支出表、项目支出表按经济分类和支出功能分类科目编制，反映部门预算中支出预算的总体情况。2018年部门支出预算为399.18万元，其中基本支出328.18万元，包括人员经费289.35万元和日常公用经费38.83万元；项目支出71.00万元，全部为本级支出。</w:t>
      </w:r>
    </w:p>
    <w:p w:rsidR="00991125" w:rsidRDefault="00F11C9E">
      <w:pPr>
        <w:ind w:left="640"/>
        <w:rPr>
          <w:rFonts w:ascii="方正仿宋简体" w:eastAsia="方正仿宋简体" w:hAnsi="Times New Roman" w:cs="Times New Roman"/>
          <w:b/>
          <w:color w:val="000000" w:themeColor="text1"/>
          <w:sz w:val="32"/>
          <w:szCs w:val="32"/>
        </w:rPr>
      </w:pPr>
      <w:r>
        <w:rPr>
          <w:rFonts w:ascii="方正仿宋简体" w:eastAsia="方正仿宋简体" w:hAnsi="Times New Roman" w:cs="Times New Roman" w:hint="eastAsia"/>
          <w:b/>
          <w:color w:val="000000" w:themeColor="text1"/>
          <w:sz w:val="32"/>
          <w:szCs w:val="32"/>
        </w:rPr>
        <w:lastRenderedPageBreak/>
        <w:t>3.</w:t>
      </w:r>
      <w:r>
        <w:rPr>
          <w:rFonts w:ascii="方正仿宋简体" w:eastAsia="方正仿宋简体" w:hAnsi="Times New Roman" w:cs="Times New Roman"/>
          <w:b/>
          <w:color w:val="000000" w:themeColor="text1"/>
          <w:sz w:val="32"/>
          <w:szCs w:val="32"/>
        </w:rPr>
        <w:t>比上年增减情况</w:t>
      </w:r>
    </w:p>
    <w:p w:rsidR="00991125" w:rsidRDefault="00F11C9E">
      <w:pPr>
        <w:ind w:firstLineChars="200" w:firstLine="640"/>
        <w:rPr>
          <w:rFonts w:ascii="方正仿宋简体" w:eastAsia="方正仿宋简体" w:hAnsi="Times New Roman" w:cs="Times New Roman"/>
          <w:color w:val="000000" w:themeColor="text1"/>
          <w:sz w:val="32"/>
          <w:szCs w:val="32"/>
        </w:rPr>
      </w:pPr>
      <w:r>
        <w:rPr>
          <w:rFonts w:ascii="方正仿宋简体" w:eastAsia="方正仿宋简体" w:hAnsi="Times New Roman" w:cs="Times New Roman" w:hint="eastAsia"/>
          <w:color w:val="000000" w:themeColor="text1"/>
          <w:sz w:val="32"/>
          <w:szCs w:val="32"/>
        </w:rPr>
        <w:t>2018年部门预算较2017年增长5.08万元，其中：基本支出增长7.58万元，主要是增加人员经费；项目支出减少2.50万元，主要是缩减项目支出。</w:t>
      </w:r>
    </w:p>
    <w:p w:rsidR="00991125" w:rsidRDefault="00F11C9E">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991125" w:rsidRDefault="00F11C9E">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机关运行经费共计安排</w:t>
      </w:r>
      <w:r>
        <w:rPr>
          <w:rFonts w:ascii="方正仿宋简体" w:eastAsia="方正仿宋简体" w:hAnsi="Times New Roman" w:cs="Times New Roman" w:hint="eastAsia"/>
          <w:color w:val="000000" w:themeColor="text1"/>
          <w:sz w:val="32"/>
          <w:szCs w:val="32"/>
        </w:rPr>
        <w:t>38.83</w:t>
      </w:r>
      <w:r>
        <w:rPr>
          <w:rFonts w:ascii="方正仿宋简体" w:eastAsia="方正仿宋简体" w:hAnsi="Times New Roman" w:cs="Times New Roman"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991125" w:rsidRDefault="00F11C9E">
      <w:pPr>
        <w:ind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991125" w:rsidRDefault="00F11C9E">
      <w:pPr>
        <w:ind w:firstLine="640"/>
        <w:rPr>
          <w:rFonts w:ascii="黑体" w:eastAsia="黑体" w:hAnsi="黑体" w:cs="Times New Roman"/>
          <w:color w:val="000000" w:themeColor="text1"/>
          <w:sz w:val="32"/>
          <w:szCs w:val="32"/>
        </w:rPr>
      </w:pPr>
      <w:r>
        <w:rPr>
          <w:rFonts w:ascii="方正仿宋简体" w:eastAsia="方正仿宋简体" w:hAnsi="Times New Roman" w:cs="Times New Roman" w:hint="eastAsia"/>
          <w:sz w:val="32"/>
          <w:szCs w:val="32"/>
        </w:rPr>
        <w:t>2018年，财政拨款“三公”经费预算安排</w:t>
      </w:r>
      <w:r>
        <w:rPr>
          <w:rFonts w:ascii="方正仿宋简体" w:eastAsia="方正仿宋简体" w:hAnsi="Times New Roman" w:cs="Times New Roman" w:hint="eastAsia"/>
          <w:color w:val="000000" w:themeColor="text1"/>
          <w:sz w:val="32"/>
          <w:szCs w:val="32"/>
        </w:rPr>
        <w:t>3.55万元，其中：因公出国（境）费0万元；公务用车购置及运维费3.10万元（其中：公务用车运行费3.10万元)；公务接待费0.45万元。“三公”经费较上年下降65.53%，主要原因是今年对“三公”经费等一般性支出进行了压减。</w:t>
      </w:r>
    </w:p>
    <w:p w:rsidR="00991125" w:rsidRDefault="00F11C9E">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991125" w:rsidRDefault="00F11C9E">
      <w:pPr>
        <w:rPr>
          <w:rFonts w:ascii="方正仿宋简体" w:eastAsia="方正仿宋简体" w:hAnsi="Times New Roman"/>
          <w:sz w:val="32"/>
          <w:szCs w:val="32"/>
        </w:rPr>
      </w:pPr>
      <w:bookmarkStart w:id="0" w:name="_Toc471398463"/>
      <w:r>
        <w:rPr>
          <w:rFonts w:ascii="方正仿宋简体" w:eastAsia="方正仿宋简体" w:hAnsi="Times New Roman" w:hint="eastAsia"/>
          <w:b/>
          <w:sz w:val="32"/>
          <w:szCs w:val="32"/>
        </w:rPr>
        <w:t>总体绩效目标：</w:t>
      </w:r>
      <w:r>
        <w:rPr>
          <w:rFonts w:ascii="方正仿宋简体" w:eastAsia="方正仿宋简体" w:hAnsi="Times New Roman" w:hint="eastAsia"/>
          <w:sz w:val="32"/>
          <w:szCs w:val="32"/>
        </w:rPr>
        <w:t>坚持加快转型这一主攻方向。在适度扩大总需求的同时，扭住供给侧结构性改革重点</w:t>
      </w:r>
      <w:r>
        <w:rPr>
          <w:rFonts w:ascii="方正仿宋简体" w:eastAsia="方正仿宋简体" w:hAnsi="Times New Roman" w:hint="eastAsia"/>
          <w:sz w:val="32"/>
          <w:szCs w:val="32"/>
        </w:rPr>
        <w:lastRenderedPageBreak/>
        <w:t>领域不放松，大力化解过剩产能，着力改造提升传统产业，精准选择培育新兴产业，大力推进科技创新，支持新技术、新产业、新业态、新模式发展，力促发展动能加速接续转换。</w:t>
      </w:r>
    </w:p>
    <w:p w:rsidR="00991125" w:rsidRDefault="00F11C9E">
      <w:pPr>
        <w:rPr>
          <w:rFonts w:ascii="方正仿宋简体" w:eastAsia="方正仿宋简体" w:hAnsi="Times New Roman"/>
          <w:sz w:val="32"/>
          <w:szCs w:val="32"/>
        </w:rPr>
      </w:pPr>
      <w:r>
        <w:rPr>
          <w:rFonts w:ascii="方正仿宋简体" w:eastAsia="方正仿宋简体" w:hAnsi="Times New Roman" w:hint="eastAsia"/>
          <w:sz w:val="32"/>
          <w:szCs w:val="32"/>
        </w:rPr>
        <w:t>突出绿色发展这一有效路径。坚持经济效益、社会效益、生态效益同步提升，加快推动污染治理和生态修复，力促尽快形成节约资源和保护环境的现代产业体系、城乡空间格局、生产生活方式，加快建设天蓝地绿水秀的美丽新区。</w:t>
      </w:r>
    </w:p>
    <w:p w:rsidR="00991125" w:rsidRDefault="00F11C9E">
      <w:pPr>
        <w:rPr>
          <w:rFonts w:ascii="方正仿宋简体" w:eastAsia="方正仿宋简体" w:hAnsi="Times New Roman"/>
          <w:sz w:val="32"/>
          <w:szCs w:val="32"/>
        </w:rPr>
      </w:pPr>
      <w:r>
        <w:rPr>
          <w:rFonts w:ascii="方正仿宋简体" w:eastAsia="方正仿宋简体" w:hAnsi="Times New Roman" w:hint="eastAsia"/>
          <w:sz w:val="32"/>
          <w:szCs w:val="32"/>
        </w:rPr>
        <w:t>紧抓协同发展这一历史机遇。着眼对接京津、借力京津、服务京津；积极承接北京非首都功能疏解，打造重点承接平台；深化与京津战略合作，加快补齐区域发展短板，力促交通、生态环保、产业领域取得更大突破。</w:t>
      </w:r>
    </w:p>
    <w:p w:rsidR="00991125" w:rsidRDefault="00F11C9E">
      <w:pPr>
        <w:rPr>
          <w:rFonts w:ascii="方正仿宋简体" w:eastAsia="方正仿宋简体" w:hAnsi="Times New Roman"/>
          <w:sz w:val="32"/>
          <w:szCs w:val="32"/>
        </w:rPr>
      </w:pPr>
      <w:r>
        <w:rPr>
          <w:rFonts w:ascii="方正仿宋简体" w:eastAsia="方正仿宋简体" w:hAnsi="Times New Roman" w:hint="eastAsia"/>
          <w:sz w:val="32"/>
          <w:szCs w:val="32"/>
        </w:rPr>
        <w:t>激发改革开放这一强大动力。深植改革创新理念，加快转变政府职能，深化重点领域改革，努力破解制约发展的体制机制障碍；构建全方位开放格局，实施更加积极的开放战略，推动外贸优化升级，务实开展国际产能合作，力促区域合作迈上新水平，努力为经济社会发展注入动力活力。</w:t>
      </w:r>
    </w:p>
    <w:p w:rsidR="00991125" w:rsidRDefault="00F11C9E">
      <w:pPr>
        <w:jc w:val="center"/>
        <w:rPr>
          <w:rFonts w:ascii="Times New Roman" w:eastAsia="方正小标宋_GBK" w:hAnsi="Times New Roman"/>
          <w:sz w:val="32"/>
        </w:rPr>
      </w:pPr>
      <w:bookmarkStart w:id="1" w:name="_Toc471409890"/>
      <w:r>
        <w:rPr>
          <w:rFonts w:ascii="Times New Roman" w:eastAsia="方正小标宋_GBK" w:hAnsi="Times New Roman" w:hint="eastAsia"/>
          <w:sz w:val="32"/>
        </w:rPr>
        <w:t>部门职责</w:t>
      </w:r>
      <w:r>
        <w:rPr>
          <w:rFonts w:ascii="Times New Roman" w:eastAsia="方正小标宋_GBK" w:hAnsi="Times New Roman"/>
          <w:sz w:val="32"/>
        </w:rPr>
        <w:t>-</w:t>
      </w:r>
      <w:r>
        <w:rPr>
          <w:rFonts w:ascii="Times New Roman" w:eastAsia="方正小标宋_GBK" w:hAnsi="Times New Roman" w:hint="eastAsia"/>
          <w:sz w:val="32"/>
        </w:rPr>
        <w:t>工作活动绩效目标</w:t>
      </w:r>
      <w:bookmarkEnd w:id="1"/>
    </w:p>
    <w:tbl>
      <w:tblPr>
        <w:tblW w:w="14760" w:type="dxa"/>
        <w:tblLayout w:type="fixed"/>
        <w:tblCellMar>
          <w:top w:w="15" w:type="dxa"/>
          <w:left w:w="15" w:type="dxa"/>
          <w:bottom w:w="15" w:type="dxa"/>
          <w:right w:w="15" w:type="dxa"/>
        </w:tblCellMar>
        <w:tblLook w:val="04A0"/>
      </w:tblPr>
      <w:tblGrid>
        <w:gridCol w:w="675"/>
        <w:gridCol w:w="1080"/>
        <w:gridCol w:w="675"/>
        <w:gridCol w:w="1050"/>
        <w:gridCol w:w="1530"/>
        <w:gridCol w:w="1425"/>
        <w:gridCol w:w="675"/>
        <w:gridCol w:w="1410"/>
        <w:gridCol w:w="2940"/>
        <w:gridCol w:w="1680"/>
        <w:gridCol w:w="1382"/>
        <w:gridCol w:w="238"/>
      </w:tblGrid>
      <w:tr w:rsidR="00991125">
        <w:trPr>
          <w:gridAfter w:val="1"/>
          <w:wAfter w:w="238" w:type="dxa"/>
          <w:trHeight w:val="312"/>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部门编码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部门名称</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部门职责编码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部门职责名称</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部门职责要点描述</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部门职责绩效目标</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工作活动编码</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工作活动名称</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工作活动要点描述</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工作活动绩效目标</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工作活动绩效指标</w:t>
            </w:r>
          </w:p>
        </w:tc>
      </w:tr>
      <w:tr w:rsidR="00991125">
        <w:trPr>
          <w:gridAfter w:val="1"/>
          <w:wAfter w:w="238" w:type="dxa"/>
          <w:trHeight w:val="312"/>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黑体" w:eastAsia="黑体" w:hAnsi="宋体"/>
                <w:color w:val="000000"/>
                <w:sz w:val="20"/>
                <w:szCs w:val="20"/>
              </w:rPr>
            </w:pPr>
          </w:p>
        </w:tc>
      </w:tr>
      <w:tr w:rsidR="00991125">
        <w:trPr>
          <w:gridAfter w:val="1"/>
          <w:wAfter w:w="238" w:type="dxa"/>
          <w:trHeight w:val="216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北戴河新区发展改革局</w:t>
            </w: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推动新区京津冀协同发展</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负责制定对接京津工作方案，综合协调、督办落实工作；研究确定承接工作重点；积极推进各项规划的全面对接；制定承接功能疏解和产业转移方面的优惠政策；定期调度承接工作进展情况，提出工作建议；完成领导小组交办的其他事项。</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协调推动协同发展各项工作的落实，与京津开展战略合作，推动合作协议的落实，深化拓展合作领域，推动一批重大合作事项取得实质性进展。</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规划对接、制定优惠政策、定期调度、提出建议、日常工作</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贯彻落实市领导小组决策部署，组织拟定新区实施意见，推进协同发展规划、重点领域率先突破任务落实，加强与京津的战略合作。</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协调推动协同发展各项工作的落实，与京津开展战略合作，推动合作协议的落实，深化拓展合作领域，推动一批重大合作事项取得实质性进展。促进各项鼓励支持政策落实。</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开展专题研究；召开领导小组会、成员单位工作会及重大事项协调会等会议；现场督导调研活动</w:t>
            </w:r>
          </w:p>
        </w:tc>
      </w:tr>
      <w:tr w:rsidR="00991125">
        <w:trPr>
          <w:gridAfter w:val="1"/>
          <w:wAfter w:w="238" w:type="dxa"/>
          <w:trHeight w:val="15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制定优惠政策，与京津对接活动的组织及项目组织、督导、调研情况。</w:t>
            </w:r>
          </w:p>
        </w:tc>
      </w:tr>
      <w:tr w:rsidR="00991125">
        <w:trPr>
          <w:gridAfter w:val="1"/>
          <w:wAfter w:w="238" w:type="dxa"/>
          <w:trHeight w:val="307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日常工作完成率</w:t>
            </w:r>
          </w:p>
        </w:tc>
      </w:tr>
      <w:tr w:rsidR="00991125">
        <w:trPr>
          <w:gridAfter w:val="1"/>
          <w:wAfter w:w="238" w:type="dxa"/>
          <w:trHeight w:val="47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推进北戴河生命健康产业创新示范区政策体系搭建</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分析示范区经济社会发展的重大问题，对产业方向、政策研究和重要生产力布局等方面提出建议；组织开展示范区改革创新，组织编制并实时更新示范区产业发展扶持政策；协调推进和督促示范区重大项目进展；督促检查示范区产业发展扶持政策落实情况和其它重要工作开展情况。</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增强建议和规划前瞻性、科学性、可操作性；规划目标全面、先进、可行；组织落实措施得力，调度有序。产业发展扶持政策符合新区实际，创新性、竞争力强。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搭建示范区政策体系</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编制并完善示范区产业发展扶持政策、总部经济发展扶持政策等，会同有关部门编制示范区政策支撑体系汇编。</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持续推进示范区产业结构调整，大力推进生命健康产业发展，充分发挥产业政策的扶持作用，切实提高示范区产业发展的质量水平，为促进示范区经济健康发展助力。</w:t>
            </w:r>
          </w:p>
        </w:tc>
        <w:tc>
          <w:tcPr>
            <w:tcW w:w="1382" w:type="dxa"/>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政策规划文本编制完成率</w:t>
            </w:r>
          </w:p>
        </w:tc>
      </w:tr>
      <w:tr w:rsidR="00991125">
        <w:trPr>
          <w:gridAfter w:val="1"/>
          <w:wAfter w:w="238" w:type="dxa"/>
          <w:trHeight w:val="237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推进新区沿海发展</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负责配合省、市沿海办落实各项鼓励支持政策，督导推进沿海地区规划中重大项目实施，按省、市沿海办要求做好信息</w:t>
            </w:r>
            <w:r>
              <w:rPr>
                <w:rFonts w:ascii="宋体" w:hAnsi="宋体" w:cs="宋体" w:hint="eastAsia"/>
                <w:color w:val="000000"/>
                <w:kern w:val="0"/>
                <w:sz w:val="20"/>
                <w:szCs w:val="20"/>
              </w:rPr>
              <w:lastRenderedPageBreak/>
              <w:t>反馈和报送工作。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促进各项鼓励支持政策落实，推进沿海规划实施，加快沿海地区项目建设。</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方案制定、督导落实及调查研究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负责新区沿海开发建设工作方案、目标任务的分解并督导落实。并就沿海地区开发建设工作进行调查研究，会同各单位研究提出沿海开发建设的政策和措施建议。</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工作方案针对性、科学性和可操作性强，任务分解明确，督导及时，提出的调研报告和措揓建议。</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开展专题研究；组织召开领导小组会、成员单位工作会及重大事项协调会等会议；现场督导调研活动。</w:t>
            </w:r>
          </w:p>
        </w:tc>
      </w:tr>
      <w:tr w:rsidR="00991125">
        <w:trPr>
          <w:gridAfter w:val="1"/>
          <w:wAfter w:w="238" w:type="dxa"/>
          <w:trHeight w:val="133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日常管理</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负责新区沿海开发建设工作领导小组会议和重要活动安排，做好与市沿海办的联系，做好每月沿海经济指标统计和沿海重点项目推进情况填报工作。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经济指标统计准确，项目进展更新及时，参考性强。</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日常事务管理工作完成率。 </w:t>
            </w:r>
          </w:p>
        </w:tc>
      </w:tr>
      <w:tr w:rsidR="00991125">
        <w:trPr>
          <w:gridAfter w:val="1"/>
          <w:wAfter w:w="238" w:type="dxa"/>
          <w:trHeight w:val="430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新区发展政策研究</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分析新区经济社会发展的重大问题，对产业方向、政策研究和重要生产力布局等方面提出建议；组织开展新区改革创新，组织编制并实时更新新区产业发展扶持政策；协调推进和督促新区重大项目进展；督促检查新区产业发展扶持政策落实情况和其它重要工作开展情况。</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增强建议和规划前瞻性、科学性、可操作性；规划目标全面、先进、可行；组织落实措施得力，调度有序。产业发展扶持政策符合新区实际，创新性、竞争力强。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搭建新区政策体系</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编制并完善新区产业发展扶持政策、总部经济发展扶持政策等，会同有关部门编制新区政策支撑体系汇编。</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持续推进新区产业结构调整，大力推进产业发展，充分发挥产业政策的扶持作用，切实提高新区产业发展的质量水平，为促进新区经济健康发展助力。</w:t>
            </w:r>
          </w:p>
        </w:tc>
        <w:tc>
          <w:tcPr>
            <w:tcW w:w="1382" w:type="dxa"/>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政策规划文本编制完成率</w:t>
            </w:r>
          </w:p>
        </w:tc>
      </w:tr>
      <w:tr w:rsidR="00991125">
        <w:trPr>
          <w:gridAfter w:val="1"/>
          <w:wAfter w:w="238" w:type="dxa"/>
          <w:trHeight w:val="175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发展和改革政务管理</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保障发展改革一般性日常业务开展和机关事务的基本运转</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保障发展改革一般性日常业务开展和机关事务的基本运转</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综合业务管理</w:t>
            </w:r>
          </w:p>
        </w:tc>
        <w:tc>
          <w:tcPr>
            <w:tcW w:w="2940" w:type="dxa"/>
            <w:tcBorders>
              <w:top w:val="single" w:sz="4" w:space="0" w:color="000000"/>
              <w:left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负责协调各平台的项目规划工作；负责全区依法必须招标项目的招标投标公告发布、方案核准以及评标专家库、招标代理机构等实施监督管理；按照区政府政策要求，加强行业协会管理。</w:t>
            </w:r>
          </w:p>
        </w:tc>
        <w:tc>
          <w:tcPr>
            <w:tcW w:w="1680" w:type="dxa"/>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招投标管理制度完善，操作实施规范，应依法必须招投标项目覆盖全面</w:t>
            </w:r>
          </w:p>
        </w:tc>
        <w:tc>
          <w:tcPr>
            <w:tcW w:w="1382" w:type="dxa"/>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年内督导企业个数</w:t>
            </w:r>
          </w:p>
        </w:tc>
      </w:tr>
      <w:tr w:rsidR="00991125">
        <w:trPr>
          <w:gridAfter w:val="1"/>
          <w:wAfter w:w="238" w:type="dxa"/>
          <w:trHeight w:val="457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综合事务管理</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负责协调内设各科工作，督查各科对局长办公会议决定事项，领导批示及其他重要工作的执行、落实情况；负责组织局长办公会议、科长会议；负责编制发展改革局工作计划、总结、起草重要综合性文稿、收集和编报政务信息，收发、传阅、归档文件；负责全局干部人事管理、科室岗位、队伍建设和教育培训工作；负责财务和资产管理工作；负责党务、工会、共青团、妇委会工作；负责印信管理、政务公开、车辆管理；负责协调处理机关其他日常政务和事务工作；负责承办新区党工委、管委会交办的其他事项。</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保障发展改革工作正常开展</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综合事务管理工作完成率</w:t>
            </w:r>
          </w:p>
        </w:tc>
      </w:tr>
      <w:tr w:rsidR="00991125">
        <w:trPr>
          <w:gridAfter w:val="1"/>
          <w:wAfter w:w="238" w:type="dxa"/>
          <w:trHeight w:val="91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国民经济核算</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在全区开展GDP核算。</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完成全区年度数据的测算审核认</w:t>
            </w:r>
            <w:r>
              <w:rPr>
                <w:rFonts w:ascii="宋体" w:hAnsi="宋体" w:cs="宋体" w:hint="eastAsia"/>
                <w:color w:val="000000"/>
                <w:kern w:val="0"/>
                <w:sz w:val="18"/>
                <w:szCs w:val="18"/>
              </w:rPr>
              <w:lastRenderedPageBreak/>
              <w:t>定工作；完成全区季度数据审核认定工作；完成必要分析，对相关经济决策提供重要依据。</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国民经济核算</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贯彻执行国家、省国民经济核算制度，组织实施全区国民经济核算制度和投</w:t>
            </w:r>
            <w:r>
              <w:rPr>
                <w:rFonts w:ascii="宋体" w:hAnsi="宋体" w:cs="宋体" w:hint="eastAsia"/>
                <w:color w:val="000000"/>
                <w:kern w:val="0"/>
                <w:sz w:val="18"/>
                <w:szCs w:val="18"/>
              </w:rPr>
              <w:lastRenderedPageBreak/>
              <w:t>入产出调查，核算全区地区生产总值，整理、测算和提供国民经济核算资料，监督管理全区国民经济核算工作。</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完成全区年度、季度数据及各市年度数据</w:t>
            </w:r>
            <w:r>
              <w:rPr>
                <w:rFonts w:ascii="宋体" w:hAnsi="宋体" w:cs="宋体" w:hint="eastAsia"/>
                <w:color w:val="000000"/>
                <w:kern w:val="0"/>
                <w:sz w:val="18"/>
                <w:szCs w:val="18"/>
              </w:rPr>
              <w:lastRenderedPageBreak/>
              <w:t>的测算审核认定工作；完成必要分析，对相关经济决策提供重要依据。</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统计信息采用量(篇)</w:t>
            </w:r>
          </w:p>
        </w:tc>
      </w:tr>
      <w:tr w:rsidR="00991125">
        <w:trPr>
          <w:gridAfter w:val="1"/>
          <w:wAfter w:w="238" w:type="dxa"/>
          <w:trHeight w:val="94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调查对象覆盖率</w:t>
            </w:r>
          </w:p>
        </w:tc>
      </w:tr>
      <w:tr w:rsidR="00991125">
        <w:trPr>
          <w:gridAfter w:val="1"/>
          <w:wAfter w:w="238" w:type="dxa"/>
          <w:trHeight w:val="126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专项统计完成率</w:t>
            </w:r>
          </w:p>
        </w:tc>
      </w:tr>
      <w:tr w:rsidR="00991125">
        <w:trPr>
          <w:gridAfter w:val="1"/>
          <w:wAfter w:w="238" w:type="dxa"/>
          <w:trHeight w:val="126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固定资产投资统计</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对全区固定资产投资完成情况进行统计调查</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开展开工项目统计调查工作，力争及时入库，按时统计投资数据，对数据汇总分析，对相关经济决策提供重要依据</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固定资产投资统计调查</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开展开工项目统计调查工作，对符合入库条件的项目及时完善资料及时入库，按时完成投资月报、季报、年报报表上报，完成数据汇总分析。组织投资业务培训，提供项目单位报表业务水平。</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完成全区年月度、年度数据；完成必要分析，对相关经济决策提供重要依据。</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调查对象覆盖率</w:t>
            </w:r>
          </w:p>
        </w:tc>
      </w:tr>
      <w:tr w:rsidR="00991125">
        <w:trPr>
          <w:gridAfter w:val="1"/>
          <w:wAfter w:w="238" w:type="dxa"/>
          <w:trHeight w:val="126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业务培训覆盖率</w:t>
            </w:r>
          </w:p>
        </w:tc>
      </w:tr>
      <w:tr w:rsidR="00991125">
        <w:trPr>
          <w:gridAfter w:val="1"/>
          <w:wAfter w:w="238" w:type="dxa"/>
          <w:trHeight w:val="126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统计信息采用量(篇)</w:t>
            </w:r>
          </w:p>
        </w:tc>
      </w:tr>
      <w:tr w:rsidR="00991125">
        <w:trPr>
          <w:gridAfter w:val="1"/>
          <w:wAfter w:w="238" w:type="dxa"/>
          <w:trHeight w:val="78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统计调查</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组织国情国力普查和涉及工业、农业、固定资产投资、房地产、建筑业、服务业、贸易、</w:t>
            </w:r>
            <w:r>
              <w:rPr>
                <w:rFonts w:ascii="宋体" w:hAnsi="宋体" w:cs="宋体" w:hint="eastAsia"/>
                <w:color w:val="000000"/>
                <w:kern w:val="0"/>
                <w:sz w:val="20"/>
                <w:szCs w:val="20"/>
              </w:rPr>
              <w:lastRenderedPageBreak/>
              <w:t>社科、节能等相关行业的专项统计调查监测，收集、整理统计数据，提供咨询建议。</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研究制定资料开发应用计划，进行业务培训，组织开展深层次课题研究，发</w:t>
            </w:r>
            <w:r>
              <w:rPr>
                <w:rFonts w:ascii="宋体" w:hAnsi="宋体" w:cs="宋体" w:hint="eastAsia"/>
                <w:color w:val="000000"/>
                <w:kern w:val="0"/>
                <w:sz w:val="20"/>
                <w:szCs w:val="20"/>
              </w:rPr>
              <w:lastRenderedPageBreak/>
              <w:t>布普查主要数据公报，完成普查工作总结和表彰。</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国情国力普查</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组织完成国情国力普查及重要调查任务，研究提出重大区情区力普查和抽样调查计划并组织实施，汇总、整理和提供有关区情区力方面的统计数据。</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按照国家统计局、财政部关于印发《关于统计部门周期性普查和大型调查经费开支问题的</w:t>
            </w:r>
            <w:r>
              <w:rPr>
                <w:rFonts w:ascii="宋体" w:hAnsi="宋体" w:cs="宋体" w:hint="eastAsia"/>
                <w:color w:val="000000"/>
                <w:kern w:val="0"/>
                <w:sz w:val="20"/>
                <w:szCs w:val="20"/>
              </w:rPr>
              <w:lastRenderedPageBreak/>
              <w:t>暂行规定》，分年度完成普查工作，确保普查的顺利完成。</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调查对象覆盖率</w:t>
            </w:r>
          </w:p>
        </w:tc>
      </w:tr>
      <w:tr w:rsidR="00991125">
        <w:trPr>
          <w:gridAfter w:val="1"/>
          <w:wAfter w:w="238" w:type="dxa"/>
          <w:trHeight w:val="84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统计信息采用量(篇)</w:t>
            </w:r>
          </w:p>
        </w:tc>
      </w:tr>
      <w:tr w:rsidR="00991125">
        <w:trPr>
          <w:gridAfter w:val="1"/>
          <w:wAfter w:w="238" w:type="dxa"/>
          <w:trHeight w:val="6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业务培训覆盖率</w:t>
            </w:r>
          </w:p>
        </w:tc>
      </w:tr>
      <w:tr w:rsidR="00991125">
        <w:trPr>
          <w:gridAfter w:val="1"/>
          <w:wAfter w:w="238" w:type="dxa"/>
          <w:trHeight w:val="6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普查统计完成率</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统计政务管理</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保障机关日常运转，健全全区统计法制建设，指导全区统计专业技术队伍建设。</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保障统计信息化建设、统计执法等全区统计专业技术队伍建设。</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综合业务管理</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健全全区统计法制建设，严格查处统计违法现象，开展统计基层基础建设，指导全区统计专业技术队伍建设。</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开展统计执法检查和培训工作，防范统计违法现象的发生；拟定全区统计教育培训制度、规划等。</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反映法制建设完成率</w:t>
            </w:r>
          </w:p>
        </w:tc>
      </w:tr>
      <w:tr w:rsidR="00991125">
        <w:trPr>
          <w:gridAfter w:val="1"/>
          <w:wAfter w:w="238" w:type="dxa"/>
          <w:trHeight w:val="9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培训工作完成率</w:t>
            </w:r>
          </w:p>
        </w:tc>
      </w:tr>
      <w:tr w:rsidR="00991125">
        <w:trPr>
          <w:gridAfter w:val="1"/>
          <w:wAfter w:w="238" w:type="dxa"/>
          <w:trHeight w:val="51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综合事务管理</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保障机关日常运转，开展纪检监察、计财内审、人事管理、老干部管理、党建、后勤、行政许可事务性管理等工作。</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保障机关正常运转。</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综合事务保障率</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综合事务满意度</w:t>
            </w:r>
          </w:p>
        </w:tc>
      </w:tr>
      <w:tr w:rsidR="00991125">
        <w:trPr>
          <w:gridAfter w:val="1"/>
          <w:wAfter w:w="238" w:type="dxa"/>
          <w:trHeight w:val="97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left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50" w:type="dxa"/>
            <w:vMerge w:val="restart"/>
            <w:tcBorders>
              <w:top w:val="single" w:sz="4" w:space="0" w:color="000000"/>
              <w:left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组织编制经济社会发展规划和计划</w:t>
            </w:r>
          </w:p>
        </w:tc>
        <w:tc>
          <w:tcPr>
            <w:tcW w:w="1530" w:type="dxa"/>
            <w:vMerge w:val="restart"/>
            <w:tcBorders>
              <w:top w:val="single" w:sz="4" w:space="0" w:color="000000"/>
              <w:left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组织拟订全区经济社会发展战略（中长期）规划、年度计划及重点领域、区域经济的规划；落实国民经济和社</w:t>
            </w:r>
            <w:r>
              <w:rPr>
                <w:rFonts w:ascii="宋体" w:hAnsi="宋体" w:cs="宋体" w:hint="eastAsia"/>
                <w:color w:val="000000"/>
                <w:kern w:val="0"/>
                <w:sz w:val="18"/>
                <w:szCs w:val="18"/>
              </w:rPr>
              <w:lastRenderedPageBreak/>
              <w:t>会发展有关地方性法规，起草相关文件。</w:t>
            </w:r>
          </w:p>
        </w:tc>
        <w:tc>
          <w:tcPr>
            <w:tcW w:w="1425" w:type="dxa"/>
            <w:vMerge w:val="restart"/>
            <w:tcBorders>
              <w:top w:val="single" w:sz="4" w:space="0" w:color="000000"/>
              <w:left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增强规划和计划的前瞻性、科学性、可操作性；规划目标全面、先进、可行；组织落实措施得力，调度</w:t>
            </w:r>
            <w:r>
              <w:rPr>
                <w:rFonts w:ascii="宋体" w:hAnsi="宋体" w:cs="宋体" w:hint="eastAsia"/>
                <w:color w:val="000000"/>
                <w:kern w:val="0"/>
                <w:sz w:val="18"/>
                <w:szCs w:val="18"/>
              </w:rPr>
              <w:lastRenderedPageBreak/>
              <w:t>有序。</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规划、计划及课题编制</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拟定全区经济社会发展中长期规划，对规划执行情况监测预测、中期评估及动态调整，统筹协调区级专项规划和区域规划；研究分析全区经济和社会发展重大战略与布局，拟定全区年度经济社会发展计划，并受区政府委</w:t>
            </w:r>
            <w:r>
              <w:rPr>
                <w:rFonts w:ascii="宋体" w:hAnsi="宋体" w:cs="宋体" w:hint="eastAsia"/>
                <w:color w:val="000000"/>
                <w:kern w:val="0"/>
                <w:sz w:val="18"/>
                <w:szCs w:val="18"/>
              </w:rPr>
              <w:lastRenderedPageBreak/>
              <w:t>托向区人大作全区国民经济和社会发展计划报告。编制和拟订全区重点领域、重要产业和区域发展等战略规划和计划，研究提出落实措施等建议。</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规划和计划前瞻性、科学性、可操作性较强；规划目标全面、先进、可行；组织实施有效，及时评估调度，动态调整切实可</w:t>
            </w:r>
            <w:r>
              <w:rPr>
                <w:rFonts w:ascii="宋体" w:hAnsi="宋体" w:cs="宋体" w:hint="eastAsia"/>
                <w:color w:val="000000"/>
                <w:kern w:val="0"/>
                <w:sz w:val="18"/>
                <w:szCs w:val="18"/>
              </w:rPr>
              <w:lastRenderedPageBreak/>
              <w:t>行。经济社会发展计划切实体现区委、区政府决策目标和部署。确保重点领域和区域经济社会规划与国民经济和社会发展规划、计划的衔接和协调。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各类经济社会发展中长期规划编制完成率</w:t>
            </w:r>
          </w:p>
        </w:tc>
      </w:tr>
      <w:tr w:rsidR="00991125">
        <w:trPr>
          <w:gridAfter w:val="1"/>
          <w:wAfter w:w="238" w:type="dxa"/>
          <w:trHeight w:val="10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重点领域与区域经济社会规划编制完成率</w:t>
            </w:r>
          </w:p>
        </w:tc>
      </w:tr>
      <w:tr w:rsidR="00991125">
        <w:trPr>
          <w:gridAfter w:val="1"/>
          <w:wAfter w:w="238" w:type="dxa"/>
          <w:trHeight w:val="184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区人大代表表决通过率</w:t>
            </w:r>
          </w:p>
        </w:tc>
      </w:tr>
      <w:tr w:rsidR="00991125">
        <w:trPr>
          <w:gridAfter w:val="1"/>
          <w:wAfter w:w="238" w:type="dxa"/>
          <w:trHeight w:val="79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经济和社会运行监测、调节与协调</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协调和监测调节经济社会协调发展，实施重大调控政策，实施促进就业、调整收入分配、完善社会保障与经济协调发展的政策措施，推进社会公共服务均等化；实施产业政策；组织实施全区国民经济、装备动员。</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做好经济运行监测分析，协调经济社会运行平稳有序和健康发展，提升全区经济、装备动员能力。</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经济社会发展形势监测分析、调节</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负责全区经济社会发展运行调节、监测，综合协调经济社会发展，进行区域经济的预测、预警；负责日常经济和社会事业发展运行的调节，组织解决经济运行和社会事业发展中重大问题；</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推进经济社会健康协调发展，提升全区经济、装备动员能力。</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年度经济、装备动员年度计划完成率</w:t>
            </w:r>
          </w:p>
        </w:tc>
      </w:tr>
      <w:tr w:rsidR="00991125">
        <w:trPr>
          <w:gridAfter w:val="1"/>
          <w:wAfter w:w="238" w:type="dxa"/>
          <w:trHeight w:val="15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调研次数、形势分析或调研报告数量</w:t>
            </w:r>
          </w:p>
        </w:tc>
      </w:tr>
      <w:tr w:rsidR="00991125">
        <w:trPr>
          <w:gridAfter w:val="1"/>
          <w:wAfter w:w="238" w:type="dxa"/>
          <w:trHeight w:val="91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形势分析或调研报告采用率</w:t>
            </w:r>
          </w:p>
        </w:tc>
      </w:tr>
      <w:tr w:rsidR="00991125">
        <w:trPr>
          <w:gridAfter w:val="1"/>
          <w:wAfter w:w="238" w:type="dxa"/>
          <w:trHeight w:val="211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推进全区产业结构调整和转型升级</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施综合性产业政策，负责协调全区第一、二、三产业发展的重大问题并衔接平衡相关发展规划和重大政策，推进经济结构战略性调整。按照经济和社会发展要求，引导产业升级和转型，支持重点领域和行业建设。</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有效引导行业健康发展，提升全区产业和行业竞争力。</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促进战略性新兴产业发展</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组织实施战略性新兴产业发展战略、规划、政策措施；宣传展示我区战略性新兴产业发展成果。</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推动产业规模不断壮大。促进产业聚集发展，提升产业竞争力。创新能力稳步提升，协同创新取得成效。创新改革不断深化，创新创业生态环境进一步改善。</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战略性新兴产业增加值占GDP总值的比重</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促进节能降耗、资源综合利用和生态建设</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推进可持续发展战略，组织实施发展循环经济、全社会资源节约和综合利用、应对气候变化政策；协调生态建设、能源资源节约和综合利用、环保产业和清洁生产促进等工作；推进综合协调节能减排工作；开展节能监察、监测，加强节能宣传培训，确保完成节能、削煤、降碳约束性指标；加强散装水泥、新型墙体材料和冶金矿产资源管理。</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发挥专项资金的引导和激励的作用，通过采取补助、奖励等方式推进能源结构调整，调动企业节能降耗的积极性，确保完成节能、削煤、降碳目标任务；电能使用效率不断提高；积极助推节能减排和大气污染防治；确保实现年度单位GDP能耗下降率</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节电量</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节能量</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可转移高峰负荷</w:t>
            </w:r>
          </w:p>
        </w:tc>
      </w:tr>
      <w:tr w:rsidR="00991125">
        <w:trPr>
          <w:gridAfter w:val="1"/>
          <w:wAfter w:w="238" w:type="dxa"/>
          <w:trHeight w:val="75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二氧化硫减排量</w:t>
            </w:r>
          </w:p>
        </w:tc>
      </w:tr>
      <w:tr w:rsidR="00991125">
        <w:trPr>
          <w:gridAfter w:val="1"/>
          <w:wAfter w:w="238" w:type="dxa"/>
          <w:trHeight w:val="73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二氧化碳减排量</w:t>
            </w:r>
          </w:p>
        </w:tc>
      </w:tr>
      <w:tr w:rsidR="00991125">
        <w:trPr>
          <w:gridAfter w:val="1"/>
          <w:wAfter w:w="238" w:type="dxa"/>
          <w:trHeight w:val="7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单位GDP能耗下降率</w:t>
            </w:r>
          </w:p>
        </w:tc>
      </w:tr>
      <w:tr w:rsidR="00991125">
        <w:trPr>
          <w:gridAfter w:val="1"/>
          <w:wAfter w:w="238" w:type="dxa"/>
          <w:trHeight w:val="94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固定资产投资调控与项目工作管理</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拟订社会固定资产投资规模和投资结构的调控目标、及</w:t>
            </w:r>
            <w:r>
              <w:rPr>
                <w:rFonts w:ascii="宋体" w:hAnsi="宋体" w:cs="宋体" w:hint="eastAsia"/>
                <w:color w:val="000000"/>
                <w:kern w:val="0"/>
                <w:sz w:val="18"/>
                <w:szCs w:val="18"/>
              </w:rPr>
              <w:lastRenderedPageBreak/>
              <w:t>措施，衔接政府投资和重大建设项目的专项规划；提出预算内基建建设项目安排建议；开展重点建设项目管理；负责配合市有关部门做好全市重点项目考核、组织全区项目考核工作。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提升公共设施水平，提高公共服务能力，促进经济和</w:t>
            </w:r>
            <w:r>
              <w:rPr>
                <w:rFonts w:ascii="宋体" w:hAnsi="宋体" w:cs="宋体" w:hint="eastAsia"/>
                <w:color w:val="000000"/>
                <w:kern w:val="0"/>
                <w:sz w:val="18"/>
                <w:szCs w:val="18"/>
              </w:rPr>
              <w:lastRenderedPageBreak/>
              <w:t>社会发展。</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固定资产投资政策制订与实施和区级预算内基本</w:t>
            </w:r>
            <w:r>
              <w:rPr>
                <w:rFonts w:ascii="宋体" w:hAnsi="宋体" w:cs="宋体" w:hint="eastAsia"/>
                <w:color w:val="000000"/>
                <w:kern w:val="0"/>
                <w:sz w:val="18"/>
                <w:szCs w:val="18"/>
              </w:rPr>
              <w:lastRenderedPageBreak/>
              <w:t>投资建设</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拟订社会固定资产投资规模和投资结构的调控目标及措施；研究制定全区重点项目建设管理的思路；制定或完</w:t>
            </w:r>
            <w:r>
              <w:rPr>
                <w:rFonts w:ascii="宋体" w:hAnsi="宋体" w:cs="宋体" w:hint="eastAsia"/>
                <w:color w:val="000000"/>
                <w:kern w:val="0"/>
                <w:sz w:val="18"/>
                <w:szCs w:val="18"/>
              </w:rPr>
              <w:lastRenderedPageBreak/>
              <w:t>善投资项目审批、核准、备案管理办法及相关措施，完善投资体制和机制建设；引导民间资金用于符合我区固定资产投资方向的项目。编制区级预算内基本建设投资计划；统筹提出区级预算内基本建设资金安排基础设施建设项目资金安排建议，落实与中央、省市投资项目配套。</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落实区固定资产投资目标；指导政策性贷款使用，有效引导民</w:t>
            </w:r>
            <w:r>
              <w:rPr>
                <w:rFonts w:ascii="宋体" w:hAnsi="宋体" w:cs="宋体" w:hint="eastAsia"/>
                <w:color w:val="000000"/>
                <w:kern w:val="0"/>
                <w:sz w:val="18"/>
                <w:szCs w:val="18"/>
              </w:rPr>
              <w:lastRenderedPageBreak/>
              <w:t>间资金用于我区固定资产投资。按时编制并提交年度预算内基建项目安排建议，并落实到具体项目；足额保证区委、区政府确定的重点基建投资项目；落实与中央、省市投资项目配套；及时下达预算内基建项目投资计划，提高区级政务设施服务保障能力</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固定资产投资计划完成率</w:t>
            </w:r>
          </w:p>
        </w:tc>
      </w:tr>
      <w:tr w:rsidR="00991125">
        <w:trPr>
          <w:gridAfter w:val="1"/>
          <w:wAfter w:w="238" w:type="dxa"/>
          <w:trHeight w:val="87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预算内基本建设资金完成率</w:t>
            </w:r>
          </w:p>
        </w:tc>
      </w:tr>
      <w:tr w:rsidR="00991125">
        <w:trPr>
          <w:gridAfter w:val="1"/>
          <w:wAfter w:w="238" w:type="dxa"/>
          <w:trHeight w:val="23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预算内基本建设投资计划执行率</w:t>
            </w:r>
          </w:p>
        </w:tc>
      </w:tr>
      <w:tr w:rsidR="00991125">
        <w:trPr>
          <w:gridAfter w:val="1"/>
          <w:wAfter w:w="238" w:type="dxa"/>
          <w:trHeight w:val="97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组织实施全区重点项目考核和稽查</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施区级重点建设项目，编制全区重点建设项目年度工作计划并执行；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区投资政策、投资计划执行情况的监督检查。</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加强重点项目谋划、协调，推动重点项目顺利实施。加强项目监管，推动项目顺利实施，处罚项目建设中重大突出违法问题。</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重点项目监督稽察覆盖率</w:t>
            </w:r>
          </w:p>
        </w:tc>
      </w:tr>
      <w:tr w:rsidR="00991125">
        <w:trPr>
          <w:gridAfter w:val="1"/>
          <w:wAfter w:w="238" w:type="dxa"/>
          <w:trHeight w:val="193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项目开工率</w:t>
            </w:r>
          </w:p>
        </w:tc>
      </w:tr>
      <w:tr w:rsidR="00991125">
        <w:trPr>
          <w:gridAfter w:val="1"/>
          <w:wAfter w:w="238" w:type="dxa"/>
          <w:trHeight w:val="64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内、外资管理</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推进全区利用外资和境外投资工作；组织开展全区对外经贸洽谈和招商活</w:t>
            </w:r>
            <w:r>
              <w:rPr>
                <w:rFonts w:ascii="宋体" w:hAnsi="宋体" w:cs="宋体" w:hint="eastAsia"/>
                <w:color w:val="000000"/>
                <w:kern w:val="0"/>
                <w:sz w:val="18"/>
                <w:szCs w:val="18"/>
              </w:rPr>
              <w:lastRenderedPageBreak/>
              <w:t>动，组织项目谋划发布、洽谈等活动。组织开展全区经济技术交流合作，组织谋划区际合作项目的考察、论证、对接、落实和实施；组织与交流合作方和区内各方面沟通对接。</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稳步提高全区利用外资、境外投资规模和</w:t>
            </w:r>
            <w:r>
              <w:rPr>
                <w:rFonts w:ascii="宋体" w:hAnsi="宋体" w:cs="宋体" w:hint="eastAsia"/>
                <w:color w:val="000000"/>
                <w:kern w:val="0"/>
                <w:sz w:val="18"/>
                <w:szCs w:val="18"/>
              </w:rPr>
              <w:lastRenderedPageBreak/>
              <w:t>水平。</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实际利用外资规模增长率</w:t>
            </w:r>
          </w:p>
        </w:tc>
      </w:tr>
      <w:tr w:rsidR="00991125">
        <w:trPr>
          <w:gridAfter w:val="1"/>
          <w:wAfter w:w="238" w:type="dxa"/>
          <w:trHeight w:val="141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境外投资规模增长率</w:t>
            </w:r>
          </w:p>
        </w:tc>
      </w:tr>
      <w:tr w:rsidR="00991125">
        <w:trPr>
          <w:gridAfter w:val="1"/>
          <w:wAfter w:w="238" w:type="dxa"/>
          <w:trHeight w:val="109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050" w:type="dxa"/>
            <w:vMerge w:val="restart"/>
            <w:tcBorders>
              <w:top w:val="single" w:sz="4" w:space="0" w:color="000000"/>
              <w:left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促进工业转型升级、推进新区民营经济发展</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织新区工业技术改造工作，推进企业技术创新体系建设。组织协调推进企业兼并重组、淘汰落后产能和化解过剩产能、工业节能与资源综合利用工作，组织实施重大专项，推进产业结构战略性调整和优化升级，加快现代产业体系建设。监测分析新区工业运行。加强对中小微企业和民营经济的宏观指导、综合协调，优化发展环</w:t>
            </w:r>
            <w:r>
              <w:rPr>
                <w:rFonts w:ascii="宋体" w:hAnsi="宋体" w:cs="宋体" w:hint="eastAsia"/>
                <w:color w:val="000000"/>
                <w:kern w:val="0"/>
                <w:sz w:val="18"/>
                <w:szCs w:val="18"/>
              </w:rPr>
              <w:lastRenderedPageBreak/>
              <w:t>境，激活市场主体，破解要素制约，强化公共服务，加强督导、检查和考核，提高民营经济和中小微企业发展质量和水平。</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加大新区工业转型升级步伐，实施“中国制造2025”，提升工业发展的质量和效益。提升行业管理水平，促进行业健康发展。实施“互联网+”计划，提升新区信息化建设和发展水平；推动中小微企业和民营经济持续、健康发展</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支持工业转型升级</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研究提出新区新型工业和信息化发展战略和政策，支持工业技术改造，扶持企业技术创新，促进工业节能减排与资源综合利用，推动企业兼并重组，指导工业设计与制造融合发展。做好工业运行监测分析、预警，组织开展工业企业对标行动，加强工业行业质量管理，实施工业行业准入、规范管理和工业标准管理，指导工业行业安全生产、应急管理，促进物联网、大数据、云计算产业发展。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改造提升新区传统产业水平，调整产业结构，转变经济发展方式。</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规模以上工业增加值监测率</w:t>
            </w:r>
          </w:p>
        </w:tc>
      </w:tr>
      <w:tr w:rsidR="00991125">
        <w:trPr>
          <w:gridAfter w:val="1"/>
          <w:wAfter w:w="238" w:type="dxa"/>
          <w:trHeight w:val="51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培育认定规模以上工业企业</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培育认定规模以上工业企业完成率</w:t>
            </w:r>
          </w:p>
        </w:tc>
      </w:tr>
      <w:tr w:rsidR="00991125">
        <w:trPr>
          <w:gridAfter w:val="1"/>
          <w:wAfter w:w="238" w:type="dxa"/>
          <w:trHeight w:val="85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完成工业投资和工业技改投资的入统和调度</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完成工业投资和工业技改投资的入统和调度率</w:t>
            </w:r>
          </w:p>
        </w:tc>
      </w:tr>
      <w:tr w:rsidR="00991125">
        <w:trPr>
          <w:gridAfter w:val="1"/>
          <w:wAfter w:w="238" w:type="dxa"/>
          <w:trHeight w:val="73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做好全市百家重点工业企业的运行监测</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全市百家重点工业企业的运行监测率</w:t>
            </w:r>
          </w:p>
        </w:tc>
      </w:tr>
      <w:tr w:rsidR="00991125">
        <w:trPr>
          <w:gridAfter w:val="1"/>
          <w:wAfter w:w="238" w:type="dxa"/>
          <w:trHeight w:val="5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完成河北省军民融合型企业申报</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河北省军民融合型企业申报率</w:t>
            </w:r>
          </w:p>
        </w:tc>
      </w:tr>
      <w:tr w:rsidR="00991125">
        <w:trPr>
          <w:gridAfter w:val="1"/>
          <w:wAfter w:w="238" w:type="dxa"/>
          <w:trHeight w:val="73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完成新区工业企业两化融合整体性评估工作</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工业企业两化融合整体性评估工作完成率</w:t>
            </w:r>
          </w:p>
        </w:tc>
      </w:tr>
      <w:tr w:rsidR="00991125">
        <w:trPr>
          <w:gridAfter w:val="1"/>
          <w:wAfter w:w="238" w:type="dxa"/>
          <w:trHeight w:val="136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发挥民营经济领导小组办公室作用，推进新区民营经济发展</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落实《河北省促进企业履行社会责任》完成率</w:t>
            </w:r>
          </w:p>
        </w:tc>
      </w:tr>
      <w:tr w:rsidR="00991125">
        <w:trPr>
          <w:gridAfter w:val="1"/>
          <w:wAfter w:w="238" w:type="dxa"/>
          <w:trHeight w:val="85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工信部门承担新区重点任务</w:t>
            </w:r>
          </w:p>
        </w:tc>
        <w:tc>
          <w:tcPr>
            <w:tcW w:w="1530" w:type="dxa"/>
            <w:vMerge w:val="restart"/>
            <w:tcBorders>
              <w:top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定全区燃煤工业锅炉改造方案，推进方案落实。配合做好北戴河新区“治超”工作领导小组工作；做好工信职责范围内的安全生产工作；推进北戴河新区重点区域无线网络覆盖工作；做好电力相关工作；配合做好散煤治理相关工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燃煤工业锅炉改造任务。配合完成北戴河新区“治超”工作领导小组工作任务；完成工信职责范围内的安全生产任务；完成北戴河新区重点区域无线网络覆盖工作；做好电力相关工作；配合做好散煤治理相关工作</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燃煤工业锅炉改造</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负责新区范围内燃煤工业锅炉走访、动员、拆除、改造等具体工作</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完成燃煤工业锅炉改造任务</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燃煤工业锅炉改造完成率</w:t>
            </w:r>
          </w:p>
        </w:tc>
      </w:tr>
      <w:tr w:rsidR="00991125">
        <w:trPr>
          <w:gridAfter w:val="1"/>
          <w:wAfter w:w="238" w:type="dxa"/>
          <w:trHeight w:val="76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配合开展新区“治超”工作</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配合做好北戴河新区“治超”工作领导小组工作</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配合完成北戴河新区“治超”工作领导小组工作任务</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配合“治超”工作领导小组工作完成率</w:t>
            </w:r>
          </w:p>
        </w:tc>
      </w:tr>
      <w:tr w:rsidR="00991125">
        <w:trPr>
          <w:gridAfter w:val="1"/>
          <w:wAfter w:w="238" w:type="dxa"/>
          <w:trHeight w:val="64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安全生产工作</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做好工信职责范围内的安全生产工作</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完成工信职责范围内的安全生产任务</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安全生产任务完成率</w:t>
            </w:r>
          </w:p>
        </w:tc>
      </w:tr>
      <w:tr w:rsidR="00991125">
        <w:trPr>
          <w:gridAfter w:val="1"/>
          <w:wAfter w:w="238" w:type="dxa"/>
          <w:trHeight w:val="70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无线网络覆盖工作</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推进北戴河新区重点区域无线网络覆盖工作</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完成北戴河新区重点区域无线网络覆盖工作</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北戴河新区重点区域无线网络覆盖率</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电力工作</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做好电力相关工作</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做好电力相关工作</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电力相关工作完成率</w:t>
            </w:r>
          </w:p>
        </w:tc>
      </w:tr>
      <w:tr w:rsidR="00991125">
        <w:trPr>
          <w:gridAfter w:val="1"/>
          <w:wAfter w:w="238" w:type="dxa"/>
          <w:trHeight w:val="51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散煤治理</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配合做好散煤治理相关工作</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配合做好散煤治理相关工作</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散煤治理率</w:t>
            </w:r>
          </w:p>
        </w:tc>
      </w:tr>
      <w:tr w:rsidR="00991125">
        <w:trPr>
          <w:gridAfter w:val="1"/>
          <w:wAfter w:w="238" w:type="dxa"/>
          <w:trHeight w:val="312"/>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科技创新项目支撑</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以促进产业转型升级等重大科技需求</w:t>
            </w:r>
            <w:r>
              <w:rPr>
                <w:rFonts w:ascii="宋体" w:hAnsi="宋体" w:cs="宋体" w:hint="eastAsia"/>
                <w:color w:val="000000"/>
                <w:kern w:val="0"/>
                <w:sz w:val="18"/>
                <w:szCs w:val="18"/>
              </w:rPr>
              <w:lastRenderedPageBreak/>
              <w:t>为重点，在高新技术、现代农业发展与科技惠民等领域，推进关键共性技术研究；围绕京津冀科技协同创新推进科技合作项目；支持重大科技成果转化和产业化</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获得一批重要原始创新成果，培养</w:t>
            </w:r>
            <w:r>
              <w:rPr>
                <w:rFonts w:ascii="宋体" w:hAnsi="宋体" w:cs="宋体" w:hint="eastAsia"/>
                <w:color w:val="000000"/>
                <w:kern w:val="0"/>
                <w:sz w:val="18"/>
                <w:szCs w:val="18"/>
              </w:rPr>
              <w:lastRenderedPageBreak/>
              <w:t>一批高层次科技人才和创新团队，提升企业研发能力；提升科技开放与合作的水平，提高科技成果转化和产业化能力，促进京津冀科技协同创新</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支持科技型中小企业、科技小巨人</w:t>
            </w:r>
            <w:r>
              <w:rPr>
                <w:rFonts w:ascii="宋体" w:hAnsi="宋体" w:cs="宋体" w:hint="eastAsia"/>
                <w:color w:val="000000"/>
                <w:kern w:val="0"/>
                <w:sz w:val="18"/>
                <w:szCs w:val="18"/>
              </w:rPr>
              <w:lastRenderedPageBreak/>
              <w:t>企业技术创新</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支持和引导科技型中小企业、科技小巨人企业开展技术创新；推进与高校、</w:t>
            </w:r>
            <w:r>
              <w:rPr>
                <w:rFonts w:ascii="宋体" w:hAnsi="宋体" w:cs="宋体" w:hint="eastAsia"/>
                <w:color w:val="000000"/>
                <w:kern w:val="0"/>
                <w:sz w:val="18"/>
                <w:szCs w:val="18"/>
              </w:rPr>
              <w:lastRenderedPageBreak/>
              <w:t>科研院所开展战略技术合作，促进企业科技成果转化；积极对接上级科技部门，组织企业申报科技项目，争取专项资金支持。</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应用示范一批新技术、新工艺、新产品。</w:t>
            </w:r>
            <w:r>
              <w:rPr>
                <w:rFonts w:ascii="宋体" w:hAnsi="宋体" w:cs="宋体" w:hint="eastAsia"/>
                <w:color w:val="000000"/>
                <w:kern w:val="0"/>
                <w:sz w:val="18"/>
                <w:szCs w:val="18"/>
              </w:rPr>
              <w:lastRenderedPageBreak/>
              <w:t>现代农业领域新技术、新品种、新产品的研究和应用水平进一步提升。发挥财政资金引导作用，推动科技型中小企业技术创新能力不断增强。</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新技术应用率</w:t>
            </w:r>
          </w:p>
        </w:tc>
      </w:tr>
      <w:tr w:rsidR="00991125">
        <w:trPr>
          <w:gridAfter w:val="1"/>
          <w:wAfter w:w="238" w:type="dxa"/>
          <w:trHeight w:val="312"/>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18"/>
                <w:szCs w:val="18"/>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r>
      <w:tr w:rsidR="00991125">
        <w:trPr>
          <w:gridAfter w:val="1"/>
          <w:wAfter w:w="238" w:type="dxa"/>
          <w:trHeight w:val="220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18"/>
                <w:szCs w:val="18"/>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r>
      <w:tr w:rsidR="00991125">
        <w:trPr>
          <w:gridAfter w:val="1"/>
          <w:wAfter w:w="238" w:type="dxa"/>
          <w:trHeight w:val="4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1050" w:type="dxa"/>
            <w:vMerge w:val="restart"/>
            <w:tcBorders>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科技创新环境建设</w:t>
            </w:r>
          </w:p>
        </w:tc>
        <w:tc>
          <w:tcPr>
            <w:tcW w:w="1530" w:type="dxa"/>
            <w:vMerge w:val="restart"/>
            <w:tcBorders>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支持科技创新平台、创业平台建设，支持技术创新服务体系建设，实施科学技术奖励，加强科技人才引进培养，支持科研院所发展，开展软科学研究，打造技术创新良好环境</w:t>
            </w:r>
          </w:p>
        </w:tc>
        <w:tc>
          <w:tcPr>
            <w:tcW w:w="1425" w:type="dxa"/>
            <w:vMerge w:val="restart"/>
            <w:tcBorders>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创新体系进一步完善，政策环境进一步优化，人才团队进一步壮大，创新平台对产业技术创新的支撑和服务能力进一步增强，园区和基地的培育、聚集和示范作用进一步提升</w:t>
            </w:r>
          </w:p>
        </w:tc>
        <w:tc>
          <w:tcPr>
            <w:tcW w:w="675" w:type="dxa"/>
            <w:vMerge w:val="restart"/>
            <w:tcBorders>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vMerge w:val="restart"/>
            <w:tcBorders>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科技创新服务体系建设</w:t>
            </w:r>
          </w:p>
        </w:tc>
        <w:tc>
          <w:tcPr>
            <w:tcW w:w="2940" w:type="dxa"/>
            <w:vMerge w:val="restart"/>
            <w:tcBorders>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围绕我区经济社会和科技发展需求，推进重点实验室、工程技术研究中心、产业技术研究院、众创空间等科技创新平台发展。</w:t>
            </w:r>
          </w:p>
        </w:tc>
        <w:tc>
          <w:tcPr>
            <w:tcW w:w="1680" w:type="dxa"/>
            <w:vMerge w:val="restart"/>
            <w:tcBorders>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各类科技资源配置更加合理，助推科技创新能力不断增强。</w:t>
            </w:r>
          </w:p>
        </w:tc>
        <w:tc>
          <w:tcPr>
            <w:tcW w:w="1382" w:type="dxa"/>
            <w:vMerge w:val="restart"/>
            <w:tcBorders>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建设重点实验室、工程技术研究中心、产业技术研究院、众创空间等科技创新平台数量</w:t>
            </w:r>
          </w:p>
        </w:tc>
      </w:tr>
      <w:tr w:rsidR="00991125">
        <w:trPr>
          <w:gridAfter w:val="1"/>
          <w:wAfter w:w="238" w:type="dxa"/>
          <w:trHeight w:val="312"/>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05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vMerge/>
            <w:tcBorders>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r>
      <w:tr w:rsidR="00991125">
        <w:trPr>
          <w:gridAfter w:val="1"/>
          <w:wAfter w:w="238" w:type="dxa"/>
          <w:trHeight w:val="211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05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vMerge/>
            <w:tcBorders>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r>
      <w:tr w:rsidR="00991125">
        <w:trPr>
          <w:gridAfter w:val="1"/>
          <w:wAfter w:w="238" w:type="dxa"/>
          <w:trHeight w:val="142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科协工作</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负责科学技术普及、促进学术发展</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开展科普活动，加强科普设施建设，提升科普能，为科技工作者服务的能力更强。                                                                                       </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服务技术创新</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开展专题调研，制定科学普及发展规划、政策，为基层科协组织和科技工作者提供指导服务，科普项目管理、等各项工作开展。</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各类科普业务工作谋划到位、开展有序，助推科普事业发展能力提升</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科普管理业务工作保障率</w:t>
            </w:r>
          </w:p>
        </w:tc>
      </w:tr>
      <w:tr w:rsidR="00991125">
        <w:trPr>
          <w:gridAfter w:val="1"/>
          <w:wAfter w:w="238" w:type="dxa"/>
          <w:trHeight w:val="14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tcBorders>
              <w:top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地震工作</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负责宣传、贯彻、执行国家、省、市防震减灾方针政策、法律法规、防震减灾知识，开展相关地震工作。</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做好地震应急各项准备工作，确保应急系统正常运维，保障地震应急响应快速、高效。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地震应急预案与演练</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落实国家和市防震减灾法律法规、规划、战略政策等，强化防震减灾人才队伍建设和人才培养，开展地震科技研究与交流合作，开展技能培训等。</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各级各类地震应急预案修订，预案内容科学实用，预案管理科学规范。</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各级各类预修订完成率</w:t>
            </w:r>
          </w:p>
        </w:tc>
      </w:tr>
      <w:tr w:rsidR="00991125">
        <w:trPr>
          <w:gridAfter w:val="1"/>
          <w:wAfter w:w="238" w:type="dxa"/>
          <w:trHeight w:val="12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tcBorders>
              <w:top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050" w:type="dxa"/>
            <w:tcBorders>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粮食政务管理</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负责粮食系统综合业务管理和机关综合事务管理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确保职能正常履行，各项业务顺利推进，适应粮食事业发展需要</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综合业务管理</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制定全区粮食市场体系建设与发展规划并组织实施，编制粮食流通、仓储、加工设施建设规划，完善粮食市场价格监测机制，提高粮食仓储水平。</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夯实行业发展基础，壮大企业整体实力，促进产业健康发展。</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综合事务管理工作完成率</w:t>
            </w:r>
          </w:p>
        </w:tc>
      </w:tr>
      <w:tr w:rsidR="00991125">
        <w:trPr>
          <w:gridAfter w:val="1"/>
          <w:wAfter w:w="238" w:type="dxa"/>
          <w:trHeight w:val="130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工信科技政务管理</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负责系统（内部）综合业务管理和机关（内部）综合事务管理。</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提升综合事务管理水平。</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科技综合事务管理</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主要开展会议组织管理、信息化建设、机关财务和资产管理、标准化建设、人事管理、机关党工委、老干部工作以及直属企事业单位管理服务保障等工作。</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保障机关工作正常高效运转。</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综合事务工作完成率</w:t>
            </w:r>
          </w:p>
        </w:tc>
      </w:tr>
      <w:tr w:rsidR="00991125">
        <w:trPr>
          <w:gridAfter w:val="1"/>
          <w:wAfter w:w="238" w:type="dxa"/>
          <w:trHeight w:val="85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工信综合事务管理</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工业和信息化管理工作运转保障，加强机关事务性管理，开展机关自身能力建设。</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保障机关正常工作高效运转</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综合事务管理工作完成率</w:t>
            </w:r>
          </w:p>
        </w:tc>
      </w:tr>
      <w:tr w:rsidR="00991125">
        <w:trPr>
          <w:gridAfter w:val="1"/>
          <w:wAfter w:w="238" w:type="dxa"/>
          <w:trHeight w:val="6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价格总水平调控和价格管理</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根据国民经济发展需要和社会承受能力，拟订全省价格总水平年度调控计划和中长期调控目标，监测预测全省价格总水平及其结</w:t>
            </w:r>
            <w:r>
              <w:rPr>
                <w:rFonts w:ascii="宋体" w:hAnsi="宋体" w:cs="宋体" w:hint="eastAsia"/>
                <w:color w:val="000000"/>
                <w:kern w:val="0"/>
                <w:sz w:val="18"/>
                <w:szCs w:val="18"/>
              </w:rPr>
              <w:lastRenderedPageBreak/>
              <w:t>构变动趋势，提出调控建议。管理全省与国民经济和人民生活关系重大、资源稀缺、自然垄断经营的商品价格，拟订作价原则、办法。</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保持市场价格总水平基本稳定,努力保障改善民生，促进经济持续健康发展和社会和谐稳定。</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拟订提出价格总水平年度调控目标和建议</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拟订全省价格总水平年度调控计划，编制中长期调控目标。开展日常、突发事件、重要节假日等价格巡查监测，密切跟踪国内外经济和价格运行，健全应对价格异常波动处理机制，及时启动应急预案，把价格总水平稳定在合理区间。</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保持市场价格总水平基本稳定,努力保障改善民生，促进经济持续健康发展和社会和谐稳定。</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居民消费价格年度预期目标完成情况</w:t>
            </w:r>
          </w:p>
        </w:tc>
      </w:tr>
      <w:tr w:rsidR="00991125">
        <w:trPr>
          <w:gridAfter w:val="1"/>
          <w:wAfter w:w="238" w:type="dxa"/>
          <w:trHeight w:val="10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价格巡查监测任务完成率</w:t>
            </w:r>
          </w:p>
        </w:tc>
      </w:tr>
      <w:tr w:rsidR="00991125">
        <w:trPr>
          <w:gridAfter w:val="1"/>
          <w:wAfter w:w="238" w:type="dxa"/>
          <w:trHeight w:val="54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调定自然垄断经营的商品价格和重要公用事业、工公益服务价格</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落实国家电力、燃气、热力等价格政策，拟定调整方案，推进价格机制改革。</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推进国家价格政策落实，完善价格形成机制。</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国家价格政策落实情况</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年度重点价格改革任务完成率</w:t>
            </w:r>
          </w:p>
        </w:tc>
      </w:tr>
      <w:tr w:rsidR="00991125">
        <w:trPr>
          <w:gridAfter w:val="1"/>
          <w:wAfter w:w="238" w:type="dxa"/>
          <w:trHeight w:val="6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制定和调整全省行政事业性收费标准</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配合财政部门审批管理全省行政事业性收费项目，负责制定全省行政事业性收费管理的有关制度，并组织实施</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加强全省行政事业性收费标准制定调整工作</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收费标准规范有效性</w:t>
            </w:r>
          </w:p>
        </w:tc>
      </w:tr>
      <w:tr w:rsidR="00991125">
        <w:trPr>
          <w:gridAfter w:val="1"/>
          <w:wAfter w:w="238" w:type="dxa"/>
          <w:trHeight w:val="5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收费标准制定工作完成率</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组织价格听证会</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在制定政府指导价、政府定价过程中，组织召开听证会，征求经营者、消费者和有关方面的意见，对制定价格的必要性、可行性进行论证。</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政府价格决策科学和透明</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召开听证会工作完成率</w:t>
            </w:r>
          </w:p>
        </w:tc>
      </w:tr>
      <w:tr w:rsidR="00991125">
        <w:trPr>
          <w:gridAfter w:val="1"/>
          <w:wAfter w:w="238" w:type="dxa"/>
          <w:trHeight w:val="81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听证会有效性</w:t>
            </w:r>
          </w:p>
        </w:tc>
      </w:tr>
      <w:tr w:rsidR="00991125">
        <w:trPr>
          <w:gridAfter w:val="1"/>
          <w:wAfter w:w="238" w:type="dxa"/>
          <w:trHeight w:val="75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司法案件涉案财物、行政工作所涉财物价格认定</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司法机关提出，办理司法案件中涉及的价格不明或者价格有争议的涉案财物价格认定；经行政机关提出，办理行政工作，包括行政诉讼、复议及处罚案件，行政征收、征用（含应税物价格认定）及执法活动，国家赔偿、补偿等事项中所涉财物价格认定；办理本级价格认定复核事项。</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接受司法机关、行政机关提出的价格认定事项，遵循依法、公正、科学、效率的原则，作出准确、可靠的价格认定结论，为司法机关办理相关案件、为行政工作提供依据，保障司法、行政工作顺利进行</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办案准确率</w:t>
            </w:r>
          </w:p>
        </w:tc>
      </w:tr>
      <w:tr w:rsidR="00991125">
        <w:trPr>
          <w:gridAfter w:val="1"/>
          <w:wAfter w:w="238" w:type="dxa"/>
          <w:trHeight w:val="17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认定结论按期完成率</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纪检监察案件涉</w:t>
            </w:r>
            <w:r>
              <w:rPr>
                <w:rFonts w:ascii="宋体" w:hAnsi="宋体" w:cs="宋体" w:hint="eastAsia"/>
                <w:color w:val="000000"/>
                <w:kern w:val="0"/>
                <w:sz w:val="18"/>
                <w:szCs w:val="18"/>
              </w:rPr>
              <w:lastRenderedPageBreak/>
              <w:t>案财物价格认定</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经纪检监察机关提出，办理纪检监察</w:t>
            </w:r>
            <w:r>
              <w:rPr>
                <w:rFonts w:ascii="宋体" w:hAnsi="宋体" w:cs="宋体" w:hint="eastAsia"/>
                <w:color w:val="000000"/>
                <w:kern w:val="0"/>
                <w:sz w:val="18"/>
                <w:szCs w:val="18"/>
              </w:rPr>
              <w:lastRenderedPageBreak/>
              <w:t>机关查办案件涉案财物价格认定；办理本行政区域内价格认定复核事项。</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接受纪检监察机关提</w:t>
            </w:r>
            <w:r>
              <w:rPr>
                <w:rFonts w:ascii="宋体" w:hAnsi="宋体" w:cs="宋体" w:hint="eastAsia"/>
                <w:color w:val="000000"/>
                <w:kern w:val="0"/>
                <w:sz w:val="18"/>
                <w:szCs w:val="18"/>
              </w:rPr>
              <w:lastRenderedPageBreak/>
              <w:t>出的价格认定事项，遵循依法、公正、科学、效率的原则，作出准确、可靠的价格认定结论，为纪检监察机关办理案件提供依据，保障纪检监察工作顺利进行</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案件复核维持率</w:t>
            </w:r>
          </w:p>
        </w:tc>
      </w:tr>
      <w:tr w:rsidR="00991125">
        <w:trPr>
          <w:gridAfter w:val="1"/>
          <w:wAfter w:w="238" w:type="dxa"/>
          <w:trHeight w:val="190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价格认定案件办结率</w:t>
            </w:r>
          </w:p>
        </w:tc>
      </w:tr>
      <w:tr w:rsidR="00991125">
        <w:trPr>
          <w:gridAfter w:val="1"/>
          <w:wAfter w:w="238" w:type="dxa"/>
          <w:trHeight w:val="111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价格成本调查和监审</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建立健全产品成本信息网络，组织成本汇总和成本分析；对列入《河北省价格成本监审管理目录》的商品和收费项目进行调定价监审。</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农产品调查合理布局，样本具有代表性，提高调查数据的科学性，为国家和省政府提供成本数据、分析预测趋势，为制定宏观经济政策、价格政策、稳定市场物价服务；使成本监审工作规范化、程序化，确保全省成本监审工作依法有序地开展，为政府制定价格提供成本数据支撑。</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实施全省农产品成本调查</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确定调查品种、调查县、调查户，进行组织实施和检查监督,并对调查品种数据进行收集、审核、汇总、分析。</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确保农产品调查合理布局，样本具有代表性，提高调查数据的科学性，为国家和省政府提供成本数据、分析预测趋势，为制定宏观经济政策、价格政策、稳定市场物价服务。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农产品成本调查任务完成率</w:t>
            </w:r>
          </w:p>
        </w:tc>
      </w:tr>
      <w:tr w:rsidR="00991125">
        <w:trPr>
          <w:gridAfter w:val="1"/>
          <w:wAfter w:w="238" w:type="dxa"/>
          <w:trHeight w:val="117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成本调查结果置信度</w:t>
            </w:r>
          </w:p>
        </w:tc>
      </w:tr>
      <w:tr w:rsidR="00991125">
        <w:trPr>
          <w:gridAfter w:val="1"/>
          <w:wAfter w:w="238" w:type="dxa"/>
          <w:trHeight w:val="202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价格成本调查和定价成本监审</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建立健全成本信息网络，组织成本汇总和成本分析；对列入《河北省价格成本监审管理目录》的商品和收费项目进行调定价监审。</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使成本监审工作规范化、程序化，确保成本监审工作依法有序地开展，为政府制定价格提供成本数据支撑。</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商品和收费定价监审率</w:t>
            </w:r>
          </w:p>
        </w:tc>
      </w:tr>
      <w:tr w:rsidR="00991125">
        <w:trPr>
          <w:gridAfter w:val="1"/>
          <w:wAfter w:w="238" w:type="dxa"/>
          <w:trHeight w:val="2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价格监督检</w:t>
            </w:r>
            <w:r>
              <w:rPr>
                <w:rFonts w:ascii="宋体" w:hAnsi="宋体" w:cs="宋体" w:hint="eastAsia"/>
                <w:color w:val="000000"/>
                <w:kern w:val="0"/>
                <w:sz w:val="18"/>
                <w:szCs w:val="18"/>
              </w:rPr>
              <w:lastRenderedPageBreak/>
              <w:t>查</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组织价格和收费监</w:t>
            </w:r>
            <w:r>
              <w:rPr>
                <w:rFonts w:ascii="宋体" w:hAnsi="宋体" w:cs="宋体" w:hint="eastAsia"/>
                <w:color w:val="000000"/>
                <w:kern w:val="0"/>
                <w:sz w:val="18"/>
                <w:szCs w:val="18"/>
              </w:rPr>
              <w:lastRenderedPageBreak/>
              <w:t>督检查；受理价格处罚的复议案件和申诉案件；推进价格信用制度建设；依法办理价格举报案件；推行明码标价和价格、收费公示制度，对市场放开商品实施价格监管，加强反价格欺诈反垄断工作；推进公平竞争审查制度不断完善，确保公平竞争审查制度有序开展。</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治理价格违法行</w:t>
            </w:r>
            <w:r>
              <w:rPr>
                <w:rFonts w:ascii="宋体" w:hAnsi="宋体" w:cs="宋体" w:hint="eastAsia"/>
                <w:color w:val="000000"/>
                <w:kern w:val="0"/>
                <w:sz w:val="18"/>
                <w:szCs w:val="18"/>
              </w:rPr>
              <w:lastRenderedPageBreak/>
              <w:t>为，规范收费环境和价格秩序；确保价格行政执法、处罚、审理程序合法；推行明码标价，促进明码实价；促进经营者价格自律，推进价格信用制度建设。</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01</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法制与案件审理</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对全省价格违法案件执法情况进行监</w:t>
            </w:r>
            <w:r>
              <w:rPr>
                <w:rFonts w:ascii="宋体" w:hAnsi="宋体" w:cs="宋体" w:hint="eastAsia"/>
                <w:color w:val="000000"/>
                <w:kern w:val="0"/>
                <w:sz w:val="18"/>
                <w:szCs w:val="18"/>
              </w:rPr>
              <w:lastRenderedPageBreak/>
              <w:t>督、检查，对价格违法案件的审理、提出处理意见；受理价格处罚的行政复议、行政诉讼、申诉等案件；加强《河北省价格监督检查条例》的推广及普法工作，并监督其执行情况；培训全省价格检查干部相关法律法规知识。</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确保依法办案，确保</w:t>
            </w:r>
            <w:r>
              <w:rPr>
                <w:rFonts w:ascii="宋体" w:hAnsi="宋体" w:cs="宋体" w:hint="eastAsia"/>
                <w:color w:val="000000"/>
                <w:kern w:val="0"/>
                <w:sz w:val="18"/>
                <w:szCs w:val="18"/>
              </w:rPr>
              <w:lastRenderedPageBreak/>
              <w:t>价格行政执法、处罚、审理程序合法。</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案件办结率</w:t>
            </w:r>
          </w:p>
        </w:tc>
      </w:tr>
      <w:tr w:rsidR="00991125">
        <w:trPr>
          <w:gridAfter w:val="1"/>
          <w:wAfter w:w="238" w:type="dxa"/>
          <w:trHeight w:val="100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价格处罚的行政复议与诉讼完成率</w:t>
            </w:r>
          </w:p>
        </w:tc>
      </w:tr>
      <w:tr w:rsidR="00991125">
        <w:trPr>
          <w:gridAfter w:val="1"/>
          <w:wAfter w:w="238" w:type="dxa"/>
          <w:trHeight w:val="93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价格违法案件处理完成率</w:t>
            </w:r>
          </w:p>
        </w:tc>
      </w:tr>
      <w:tr w:rsidR="00991125">
        <w:trPr>
          <w:gridAfter w:val="1"/>
          <w:wAfter w:w="238" w:type="dxa"/>
          <w:trHeight w:val="9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商品和服务价格监督检查</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规范市场价格秩序，打击虚构原价、虚假打折等欺诈行为；完善电子商务、网络购物、快递等新兴服务业价格动态应急处置机制，打击价格违法行为，防范价格异动；开展价格诚信建设，探索不同行业明码标价的规则方法。</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治理价格违法行为，规范收费环境和价格秩序；确保价格行政执法、处罚、审理程序合法；推行明码标价，促进明码实价；促进经营者价格自律，推进价格信用制度建设。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价格和收费监督检查目标完成率</w:t>
            </w:r>
          </w:p>
        </w:tc>
      </w:tr>
      <w:tr w:rsidR="00991125">
        <w:trPr>
          <w:gridAfter w:val="1"/>
          <w:wAfter w:w="238" w:type="dxa"/>
          <w:trHeight w:val="16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欺诈案件处理率</w:t>
            </w:r>
          </w:p>
        </w:tc>
      </w:tr>
      <w:tr w:rsidR="00991125">
        <w:trPr>
          <w:gridAfter w:val="1"/>
          <w:wAfter w:w="238" w:type="dxa"/>
          <w:trHeight w:val="96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物价政务管理</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负责物价系统综合业务管理和机关综合事务管理。</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建立舆情应急处置机制，健全价格舆情监测系统。依法对各类市场主体之间的价格（或损失）争议进行调解处理，充分发挥价格争议行政调解在预防、化解价格争议矛盾纠纷</w:t>
            </w:r>
            <w:r>
              <w:rPr>
                <w:rFonts w:ascii="宋体" w:hAnsi="宋体" w:cs="宋体" w:hint="eastAsia"/>
                <w:color w:val="000000"/>
                <w:kern w:val="0"/>
                <w:sz w:val="18"/>
                <w:szCs w:val="18"/>
              </w:rPr>
              <w:lastRenderedPageBreak/>
              <w:t>中的作用。</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综合业务管理</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按照市场化的方向推进价格改革；建立舆情应急处置机制，健全价格舆情监测系统。</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完善舆情应急处置平台</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舆情应急处理及时性</w:t>
            </w:r>
          </w:p>
        </w:tc>
      </w:tr>
      <w:tr w:rsidR="00991125">
        <w:trPr>
          <w:gridAfter w:val="1"/>
          <w:wAfter w:w="238" w:type="dxa"/>
          <w:trHeight w:val="204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991125">
            <w:pP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综合事务管理</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围绕提高行政效率和服务质量，强化管理措施，完善制度保障，打造廉洁高效的价格政务服务环境。根据当事人的申请，依法对各类市场主体之间的价格（或损失）争议进行调解处理。</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增强行政调解与人民调解、司法调解的衔接配合，充分发挥价格争议行政调解在预防、化解价格争议矛盾纠纷中的作用。</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综合事务管理工作完成率</w:t>
            </w:r>
          </w:p>
        </w:tc>
      </w:tr>
      <w:tr w:rsidR="00991125">
        <w:trPr>
          <w:gridAfter w:val="1"/>
          <w:wAfter w:w="238" w:type="dxa"/>
          <w:trHeight w:val="177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高新区政务管理</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负责综合业务管理和综合事务管理</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确保各项业务工作谋划到位、顺利开展。保障工作正常高效运转</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综合事务</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组织开展对外经济技术交流与合作，做好会议、培训组织，档案管理、信息化建设与维护</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保障工作有效运转</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综合事务管理工作完成率</w:t>
            </w:r>
          </w:p>
        </w:tc>
      </w:tr>
      <w:tr w:rsidR="00991125">
        <w:trPr>
          <w:gridAfter w:val="1"/>
          <w:wAfter w:w="238" w:type="dxa"/>
          <w:trHeight w:val="180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综合业务</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组织编制高新区社会发展中长期规划，编制高新区年度经济发展计划，并组织实施</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规划和计划前瞻性、科学性、可操作性较强；规划目标全面、先进、可行；政策制定科学逻辑，可操作性强</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规划编制及政策制定完成率</w:t>
            </w:r>
          </w:p>
        </w:tc>
      </w:tr>
      <w:tr w:rsidR="00991125">
        <w:trPr>
          <w:gridAfter w:val="1"/>
          <w:wAfter w:w="238" w:type="dxa"/>
          <w:trHeight w:val="10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推进高新区扩区规划环评编制，对接省科技厅等部门，跑办秦皇岛高新区扩区</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加强对上联络，强化信息沟通，及时跟踪进展，确保推进扩区效果</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推进高新区扩区成果</w:t>
            </w:r>
          </w:p>
        </w:tc>
      </w:tr>
      <w:tr w:rsidR="00991125">
        <w:trPr>
          <w:gridAfter w:val="1"/>
          <w:wAfter w:w="238" w:type="dxa"/>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高新区考核指标数据月报、季报、年报</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保证上报指标数据及时、准确</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每月高新区指标上报工作完成率</w:t>
            </w:r>
          </w:p>
        </w:tc>
      </w:tr>
      <w:tr w:rsidR="00991125">
        <w:trPr>
          <w:trHeight w:val="112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1125" w:rsidRDefault="00991125">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综合业务</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全市开发区经济指标考核等项工作</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完成全市开发区考核新区指标数据收集等工作</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1125" w:rsidRDefault="00F11C9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指标数据收集全面、报送及时准确</w:t>
            </w:r>
          </w:p>
        </w:tc>
      </w:tr>
    </w:tbl>
    <w:p w:rsidR="00991125" w:rsidRDefault="00991125">
      <w:pPr>
        <w:rPr>
          <w:rFonts w:ascii="Times New Roman" w:eastAsia="方正小标宋_GBK" w:hAnsi="Times New Roman"/>
          <w:sz w:val="32"/>
        </w:rPr>
      </w:pPr>
    </w:p>
    <w:p w:rsidR="00991125" w:rsidRDefault="00991125">
      <w:pPr>
        <w:ind w:firstLineChars="200" w:firstLine="643"/>
        <w:jc w:val="left"/>
        <w:rPr>
          <w:rFonts w:ascii="方正仿宋简体" w:eastAsia="方正仿宋简体" w:hAnsi="Times New Roman" w:cs="Times New Roman"/>
          <w:b/>
          <w:sz w:val="32"/>
          <w:szCs w:val="32"/>
        </w:rPr>
      </w:pPr>
    </w:p>
    <w:p w:rsidR="00991125" w:rsidRDefault="00991125">
      <w:pPr>
        <w:ind w:firstLineChars="200" w:firstLine="643"/>
        <w:jc w:val="left"/>
        <w:rPr>
          <w:rFonts w:ascii="方正仿宋简体" w:eastAsia="方正仿宋简体" w:hAnsi="Times New Roman" w:cs="Times New Roman"/>
          <w:b/>
          <w:sz w:val="32"/>
          <w:szCs w:val="32"/>
        </w:rPr>
      </w:pPr>
    </w:p>
    <w:p w:rsidR="00991125" w:rsidRDefault="00991125">
      <w:pPr>
        <w:ind w:firstLineChars="200" w:firstLine="643"/>
        <w:jc w:val="left"/>
        <w:rPr>
          <w:rFonts w:ascii="方正仿宋简体" w:eastAsia="方正仿宋简体" w:hAnsi="Times New Roman" w:cs="Times New Roman"/>
          <w:b/>
          <w:sz w:val="32"/>
          <w:szCs w:val="32"/>
        </w:rPr>
      </w:pPr>
    </w:p>
    <w:p w:rsidR="00991125" w:rsidRDefault="00991125">
      <w:pPr>
        <w:ind w:firstLineChars="200" w:firstLine="643"/>
        <w:jc w:val="left"/>
        <w:rPr>
          <w:rFonts w:ascii="方正仿宋简体" w:eastAsia="方正仿宋简体" w:hAnsi="Times New Roman" w:cs="Times New Roman"/>
          <w:b/>
          <w:sz w:val="32"/>
          <w:szCs w:val="32"/>
        </w:rPr>
      </w:pPr>
    </w:p>
    <w:bookmarkEnd w:id="0"/>
    <w:p w:rsidR="00991125" w:rsidRDefault="00991125">
      <w:pPr>
        <w:autoSpaceDE w:val="0"/>
        <w:autoSpaceDN w:val="0"/>
        <w:adjustRightInd w:val="0"/>
        <w:jc w:val="left"/>
        <w:rPr>
          <w:rFonts w:ascii="宋体" w:cs="宋体"/>
          <w:kern w:val="0"/>
          <w:sz w:val="18"/>
          <w:szCs w:val="18"/>
          <w:lang w:val="zh-CN"/>
        </w:rPr>
      </w:pPr>
    </w:p>
    <w:p w:rsidR="00991125" w:rsidRDefault="00F11C9E">
      <w:pPr>
        <w:ind w:firstLine="640"/>
        <w:rPr>
          <w:rFonts w:ascii="Times New Roman" w:eastAsia="方正仿宋_GBK" w:hAnsi="Times New Roman" w:cs="Times New Roman"/>
          <w:color w:val="FF0000"/>
          <w:sz w:val="32"/>
          <w:szCs w:val="24"/>
        </w:rPr>
      </w:pPr>
      <w:r>
        <w:rPr>
          <w:rFonts w:ascii="黑体" w:eastAsia="黑体" w:hAnsi="黑体" w:cs="Times New Roman" w:hint="eastAsia"/>
          <w:sz w:val="32"/>
          <w:szCs w:val="32"/>
        </w:rPr>
        <w:t>六、政府采购预算情况</w:t>
      </w:r>
    </w:p>
    <w:p w:rsidR="00991125" w:rsidRDefault="00F11C9E">
      <w:pPr>
        <w:ind w:firstLine="640"/>
        <w:rPr>
          <w:rFonts w:ascii="方正仿宋简体" w:eastAsia="方正仿宋简体" w:hAnsi="黑体" w:cs="Times New Roman"/>
          <w:color w:val="000000" w:themeColor="text1"/>
          <w:sz w:val="32"/>
          <w:szCs w:val="32"/>
        </w:rPr>
      </w:pPr>
      <w:r>
        <w:rPr>
          <w:rFonts w:ascii="方正仿宋简体" w:eastAsia="方正仿宋简体" w:hAnsi="Times New Roman" w:cs="Times New Roman" w:hint="eastAsia"/>
          <w:color w:val="000000" w:themeColor="text1"/>
          <w:sz w:val="32"/>
          <w:szCs w:val="24"/>
        </w:rPr>
        <w:t>本部门无政府采购预算。</w:t>
      </w:r>
    </w:p>
    <w:p w:rsidR="00991125" w:rsidRDefault="00F11C9E">
      <w:pPr>
        <w:ind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991125" w:rsidRDefault="00F11C9E">
      <w:pPr>
        <w:ind w:firstLine="640"/>
        <w:rPr>
          <w:rFonts w:ascii="仿宋_GB2312" w:eastAsia="仿宋_GB2312" w:hAnsi="黑体" w:cs="Times New Roman"/>
          <w:color w:val="000000" w:themeColor="text1"/>
          <w:sz w:val="32"/>
          <w:szCs w:val="32"/>
        </w:rPr>
      </w:pPr>
      <w:r>
        <w:rPr>
          <w:rFonts w:ascii="方正仿宋简体" w:eastAsia="方正仿宋简体" w:hAnsi="Times New Roman" w:cs="Times New Roman" w:hint="eastAsia"/>
          <w:color w:val="000000" w:themeColor="text1"/>
          <w:sz w:val="32"/>
          <w:szCs w:val="24"/>
        </w:rPr>
        <w:t>上年末固定资产金额为40.51万元（详见下表），本年度拟购置固定资产主要为计算机、一体机、空调、打印机、投影仪等，均是20万元以下的设备。</w:t>
      </w:r>
    </w:p>
    <w:tbl>
      <w:tblPr>
        <w:tblW w:w="13482" w:type="dxa"/>
        <w:tblInd w:w="93" w:type="dxa"/>
        <w:tblLayout w:type="fixed"/>
        <w:tblLook w:val="04A0"/>
      </w:tblPr>
      <w:tblGrid>
        <w:gridCol w:w="5224"/>
        <w:gridCol w:w="3155"/>
        <w:gridCol w:w="5103"/>
      </w:tblGrid>
      <w:tr w:rsidR="00991125">
        <w:trPr>
          <w:trHeight w:val="705"/>
        </w:trPr>
        <w:tc>
          <w:tcPr>
            <w:tcW w:w="13482" w:type="dxa"/>
            <w:gridSpan w:val="3"/>
            <w:tcBorders>
              <w:top w:val="nil"/>
              <w:left w:val="nil"/>
              <w:bottom w:val="nil"/>
              <w:right w:val="nil"/>
            </w:tcBorders>
            <w:vAlign w:val="center"/>
          </w:tcPr>
          <w:p w:rsidR="00991125" w:rsidRDefault="00F11C9E">
            <w:pPr>
              <w:widowControl/>
              <w:jc w:val="center"/>
              <w:rPr>
                <w:rFonts w:ascii="宋体" w:hAnsi="宋体" w:cs="宋体"/>
                <w:b/>
                <w:bCs/>
                <w:kern w:val="0"/>
                <w:sz w:val="32"/>
                <w:szCs w:val="32"/>
              </w:rPr>
            </w:pPr>
            <w:r>
              <w:rPr>
                <w:rFonts w:ascii="宋体" w:hAnsi="宋体" w:cs="宋体" w:hint="eastAsia"/>
                <w:b/>
                <w:bCs/>
                <w:kern w:val="0"/>
                <w:sz w:val="32"/>
                <w:szCs w:val="32"/>
              </w:rPr>
              <w:lastRenderedPageBreak/>
              <w:t>河北省省直部门固定资产占用情况表</w:t>
            </w:r>
          </w:p>
        </w:tc>
      </w:tr>
      <w:tr w:rsidR="00991125">
        <w:trPr>
          <w:trHeight w:val="510"/>
        </w:trPr>
        <w:tc>
          <w:tcPr>
            <w:tcW w:w="8379" w:type="dxa"/>
            <w:gridSpan w:val="2"/>
            <w:tcBorders>
              <w:top w:val="nil"/>
              <w:left w:val="nil"/>
              <w:bottom w:val="nil"/>
              <w:right w:val="nil"/>
            </w:tcBorders>
            <w:vAlign w:val="center"/>
          </w:tcPr>
          <w:p w:rsidR="00991125" w:rsidRDefault="00F11C9E">
            <w:pPr>
              <w:widowControl/>
              <w:jc w:val="left"/>
              <w:rPr>
                <w:rFonts w:ascii="宋体" w:hAnsi="宋体" w:cs="宋体"/>
                <w:kern w:val="0"/>
                <w:sz w:val="22"/>
              </w:rPr>
            </w:pPr>
            <w:r>
              <w:rPr>
                <w:rFonts w:ascii="宋体" w:hAnsi="宋体" w:cs="宋体" w:hint="eastAsia"/>
                <w:kern w:val="0"/>
                <w:sz w:val="22"/>
              </w:rPr>
              <w:t>编制部门：</w:t>
            </w:r>
            <w:r w:rsidR="00290527">
              <w:rPr>
                <w:rFonts w:ascii="宋体" w:hAnsi="宋体" w:cs="宋体" w:hint="eastAsia"/>
                <w:kern w:val="0"/>
                <w:sz w:val="22"/>
              </w:rPr>
              <w:t>秦皇岛北戴河新区发展改革局</w:t>
            </w:r>
          </w:p>
        </w:tc>
        <w:tc>
          <w:tcPr>
            <w:tcW w:w="5103" w:type="dxa"/>
            <w:tcBorders>
              <w:top w:val="nil"/>
              <w:left w:val="nil"/>
              <w:bottom w:val="nil"/>
              <w:right w:val="nil"/>
            </w:tcBorders>
            <w:vAlign w:val="center"/>
          </w:tcPr>
          <w:p w:rsidR="00991125" w:rsidRDefault="00F11C9E">
            <w:pPr>
              <w:widowControl/>
              <w:jc w:val="left"/>
              <w:rPr>
                <w:rFonts w:ascii="宋体" w:hAnsi="宋体" w:cs="宋体"/>
                <w:kern w:val="0"/>
                <w:sz w:val="22"/>
              </w:rPr>
            </w:pPr>
            <w:r>
              <w:rPr>
                <w:rFonts w:ascii="宋体" w:hAnsi="宋体" w:cs="宋体" w:hint="eastAsia"/>
                <w:kern w:val="0"/>
                <w:sz w:val="22"/>
              </w:rPr>
              <w:t xml:space="preserve">截止时间：2017年12月31日  </w:t>
            </w:r>
          </w:p>
        </w:tc>
      </w:tr>
      <w:tr w:rsidR="00991125">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991125" w:rsidRDefault="00F11C9E">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991125" w:rsidRDefault="00F11C9E">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991125" w:rsidRDefault="00F11C9E">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991125">
        <w:trPr>
          <w:trHeight w:val="645"/>
        </w:trPr>
        <w:tc>
          <w:tcPr>
            <w:tcW w:w="5224" w:type="dxa"/>
            <w:tcBorders>
              <w:top w:val="nil"/>
              <w:left w:val="single" w:sz="4" w:space="0" w:color="auto"/>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bookmarkStart w:id="2" w:name="_GoBack"/>
            <w:bookmarkEnd w:id="2"/>
            <w:r>
              <w:rPr>
                <w:rFonts w:ascii="宋体" w:hAnsi="宋体" w:cs="宋体" w:hint="eastAsia"/>
                <w:kern w:val="0"/>
                <w:sz w:val="22"/>
              </w:rPr>
              <w:t>40.51</w:t>
            </w:r>
          </w:p>
        </w:tc>
      </w:tr>
      <w:tr w:rsidR="00991125">
        <w:trPr>
          <w:trHeight w:val="645"/>
        </w:trPr>
        <w:tc>
          <w:tcPr>
            <w:tcW w:w="5224" w:type="dxa"/>
            <w:tcBorders>
              <w:top w:val="nil"/>
              <w:left w:val="single" w:sz="4" w:space="0" w:color="auto"/>
              <w:bottom w:val="single" w:sz="4" w:space="0" w:color="auto"/>
              <w:right w:val="single" w:sz="4" w:space="0" w:color="auto"/>
            </w:tcBorders>
            <w:vAlign w:val="center"/>
          </w:tcPr>
          <w:p w:rsidR="00991125" w:rsidRDefault="00F11C9E">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991125" w:rsidRDefault="00991125">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0</w:t>
            </w:r>
          </w:p>
        </w:tc>
      </w:tr>
      <w:tr w:rsidR="00991125">
        <w:trPr>
          <w:trHeight w:val="645"/>
        </w:trPr>
        <w:tc>
          <w:tcPr>
            <w:tcW w:w="5224" w:type="dxa"/>
            <w:tcBorders>
              <w:top w:val="nil"/>
              <w:left w:val="single" w:sz="4" w:space="0" w:color="auto"/>
              <w:bottom w:val="single" w:sz="4" w:space="0" w:color="auto"/>
              <w:right w:val="single" w:sz="4" w:space="0" w:color="auto"/>
            </w:tcBorders>
            <w:vAlign w:val="center"/>
          </w:tcPr>
          <w:p w:rsidR="00991125" w:rsidRDefault="00F11C9E">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991125" w:rsidRDefault="00991125">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0</w:t>
            </w:r>
          </w:p>
        </w:tc>
      </w:tr>
      <w:tr w:rsidR="00991125">
        <w:trPr>
          <w:trHeight w:val="645"/>
        </w:trPr>
        <w:tc>
          <w:tcPr>
            <w:tcW w:w="5224" w:type="dxa"/>
            <w:tcBorders>
              <w:top w:val="nil"/>
              <w:left w:val="single" w:sz="4" w:space="0" w:color="auto"/>
              <w:bottom w:val="single" w:sz="4" w:space="0" w:color="auto"/>
              <w:right w:val="single" w:sz="4" w:space="0" w:color="auto"/>
            </w:tcBorders>
            <w:vAlign w:val="center"/>
          </w:tcPr>
          <w:p w:rsidR="00991125" w:rsidRDefault="00F11C9E">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1</w:t>
            </w:r>
          </w:p>
        </w:tc>
        <w:tc>
          <w:tcPr>
            <w:tcW w:w="5103"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9.3</w:t>
            </w:r>
          </w:p>
        </w:tc>
      </w:tr>
      <w:tr w:rsidR="00991125">
        <w:trPr>
          <w:trHeight w:val="645"/>
        </w:trPr>
        <w:tc>
          <w:tcPr>
            <w:tcW w:w="5224" w:type="dxa"/>
            <w:tcBorders>
              <w:top w:val="nil"/>
              <w:left w:val="single" w:sz="4" w:space="0" w:color="auto"/>
              <w:bottom w:val="single" w:sz="4" w:space="0" w:color="auto"/>
              <w:right w:val="single" w:sz="4" w:space="0" w:color="auto"/>
            </w:tcBorders>
            <w:vAlign w:val="center"/>
          </w:tcPr>
          <w:p w:rsidR="00991125" w:rsidRDefault="00F11C9E">
            <w:pPr>
              <w:widowControl/>
              <w:jc w:val="left"/>
              <w:rPr>
                <w:rFonts w:ascii="宋体" w:hAnsi="宋体" w:cs="宋体"/>
                <w:kern w:val="0"/>
                <w:sz w:val="22"/>
              </w:rPr>
            </w:pPr>
            <w:r>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0</w:t>
            </w:r>
          </w:p>
        </w:tc>
      </w:tr>
      <w:tr w:rsidR="00991125">
        <w:trPr>
          <w:trHeight w:val="645"/>
        </w:trPr>
        <w:tc>
          <w:tcPr>
            <w:tcW w:w="5224" w:type="dxa"/>
            <w:tcBorders>
              <w:top w:val="nil"/>
              <w:left w:val="single" w:sz="4" w:space="0" w:color="auto"/>
              <w:bottom w:val="single" w:sz="4" w:space="0" w:color="auto"/>
              <w:right w:val="single" w:sz="4" w:space="0" w:color="auto"/>
            </w:tcBorders>
            <w:vAlign w:val="center"/>
          </w:tcPr>
          <w:p w:rsidR="00991125" w:rsidRDefault="00F11C9E">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991125" w:rsidRDefault="00F11C9E">
            <w:pPr>
              <w:widowControl/>
              <w:jc w:val="center"/>
              <w:rPr>
                <w:rFonts w:ascii="宋体" w:hAnsi="宋体" w:cs="宋体"/>
                <w:kern w:val="0"/>
                <w:sz w:val="22"/>
              </w:rPr>
            </w:pPr>
            <w:r>
              <w:rPr>
                <w:rFonts w:ascii="宋体" w:hAnsi="宋体" w:cs="宋体" w:hint="eastAsia"/>
                <w:kern w:val="0"/>
                <w:sz w:val="22"/>
              </w:rPr>
              <w:t>31.21</w:t>
            </w:r>
          </w:p>
        </w:tc>
      </w:tr>
    </w:tbl>
    <w:p w:rsidR="00991125" w:rsidRDefault="00F11C9E">
      <w:pPr>
        <w:rPr>
          <w:rFonts w:ascii="仿宋_GB2312" w:eastAsia="仿宋_GB2312" w:hAnsi="黑体" w:cs="Times New Roman"/>
          <w:color w:val="000000" w:themeColor="text1"/>
          <w:sz w:val="32"/>
          <w:szCs w:val="32"/>
        </w:rPr>
      </w:pPr>
      <w:r>
        <w:rPr>
          <w:rFonts w:ascii="仿宋_GB2312" w:eastAsia="仿宋_GB2312" w:hAnsi="黑体" w:cs="Times New Roman" w:hint="eastAsia"/>
          <w:color w:val="000000" w:themeColor="text1"/>
          <w:sz w:val="32"/>
          <w:szCs w:val="32"/>
        </w:rPr>
        <w:t>说明：实有车辆1辆。</w:t>
      </w:r>
    </w:p>
    <w:p w:rsidR="00991125" w:rsidRDefault="00F11C9E">
      <w:pPr>
        <w:ind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991125" w:rsidRDefault="00F11C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1、一般预算收入：指区级财政当年拨付的资金。</w:t>
      </w:r>
    </w:p>
    <w:p w:rsidR="00991125" w:rsidRDefault="00F11C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2、基本支出：指为保障机构正常运转、完成日常工作任务而发生的人员支出和公用支出。</w:t>
      </w:r>
    </w:p>
    <w:p w:rsidR="00991125" w:rsidRDefault="00F11C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lastRenderedPageBreak/>
        <w:t>3、项目支出：指在基本支出之外为完成特定行政任务和事业发展目标所发生的支出。</w:t>
      </w:r>
    </w:p>
    <w:p w:rsidR="00991125" w:rsidRDefault="00F11C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rsidR="00991125" w:rsidRDefault="00F11C9E">
      <w:pPr>
        <w:ind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991125" w:rsidRDefault="00F11C9E">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无。</w:t>
      </w:r>
    </w:p>
    <w:p w:rsidR="00991125" w:rsidRDefault="00991125">
      <w:pPr>
        <w:ind w:firstLineChars="200" w:firstLine="640"/>
        <w:rPr>
          <w:rFonts w:ascii="仿宋_GB2312" w:eastAsia="仿宋_GB2312" w:hAnsi="仿宋_GB2312" w:cs="仿宋_GB2312"/>
          <w:sz w:val="32"/>
          <w:szCs w:val="32"/>
        </w:rPr>
      </w:pPr>
    </w:p>
    <w:sectPr w:rsidR="00991125" w:rsidSect="00991125">
      <w:pgSz w:w="16838" w:h="11906" w:orient="landscape"/>
      <w:pgMar w:top="1800" w:right="1440" w:bottom="1800" w:left="144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D46B8C" w15:done="0"/>
  <w15:commentEx w15:paraId="54F95321" w15:done="0"/>
  <w15:commentEx w15:paraId="56B617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86E" w:rsidRDefault="0088486E" w:rsidP="003E7207">
      <w:r>
        <w:separator/>
      </w:r>
    </w:p>
  </w:endnote>
  <w:endnote w:type="continuationSeparator" w:id="1">
    <w:p w:rsidR="0088486E" w:rsidRDefault="0088486E" w:rsidP="003E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86E" w:rsidRDefault="0088486E" w:rsidP="003E7207">
      <w:r>
        <w:separator/>
      </w:r>
    </w:p>
  </w:footnote>
  <w:footnote w:type="continuationSeparator" w:id="1">
    <w:p w:rsidR="0088486E" w:rsidRDefault="0088486E" w:rsidP="003E720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czjysk">
    <w15:presenceInfo w15:providerId="None" w15:userId="czjys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37AF6"/>
    <w:rsid w:val="00041994"/>
    <w:rsid w:val="00075D5F"/>
    <w:rsid w:val="000A6B33"/>
    <w:rsid w:val="000B3E8D"/>
    <w:rsid w:val="000C3A19"/>
    <w:rsid w:val="000D3F0D"/>
    <w:rsid w:val="001245BB"/>
    <w:rsid w:val="00174EBC"/>
    <w:rsid w:val="001E4577"/>
    <w:rsid w:val="00232292"/>
    <w:rsid w:val="00241FD4"/>
    <w:rsid w:val="00251B12"/>
    <w:rsid w:val="00256F62"/>
    <w:rsid w:val="00290527"/>
    <w:rsid w:val="00292E8E"/>
    <w:rsid w:val="00296113"/>
    <w:rsid w:val="002F3E58"/>
    <w:rsid w:val="0030542C"/>
    <w:rsid w:val="00311B7A"/>
    <w:rsid w:val="00314C7B"/>
    <w:rsid w:val="00346B63"/>
    <w:rsid w:val="00364058"/>
    <w:rsid w:val="003E7207"/>
    <w:rsid w:val="003F082D"/>
    <w:rsid w:val="00451871"/>
    <w:rsid w:val="004547AD"/>
    <w:rsid w:val="00472923"/>
    <w:rsid w:val="004E3066"/>
    <w:rsid w:val="004E74CD"/>
    <w:rsid w:val="005549F6"/>
    <w:rsid w:val="00556818"/>
    <w:rsid w:val="00573562"/>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486E"/>
    <w:rsid w:val="00887B5F"/>
    <w:rsid w:val="008B3CC5"/>
    <w:rsid w:val="008E4261"/>
    <w:rsid w:val="008F3E86"/>
    <w:rsid w:val="008F4662"/>
    <w:rsid w:val="00905D08"/>
    <w:rsid w:val="00925753"/>
    <w:rsid w:val="00966C5C"/>
    <w:rsid w:val="00973104"/>
    <w:rsid w:val="00991125"/>
    <w:rsid w:val="00A72D2E"/>
    <w:rsid w:val="00A911E7"/>
    <w:rsid w:val="00A939D9"/>
    <w:rsid w:val="00AB1673"/>
    <w:rsid w:val="00AD44A3"/>
    <w:rsid w:val="00B20712"/>
    <w:rsid w:val="00B43238"/>
    <w:rsid w:val="00B50524"/>
    <w:rsid w:val="00B75216"/>
    <w:rsid w:val="00B91D52"/>
    <w:rsid w:val="00BA1ACD"/>
    <w:rsid w:val="00BA49AE"/>
    <w:rsid w:val="00C45B14"/>
    <w:rsid w:val="00C7570A"/>
    <w:rsid w:val="00CA7176"/>
    <w:rsid w:val="00CB0DD3"/>
    <w:rsid w:val="00CC163D"/>
    <w:rsid w:val="00CD2773"/>
    <w:rsid w:val="00CE143B"/>
    <w:rsid w:val="00D74B13"/>
    <w:rsid w:val="00D8117B"/>
    <w:rsid w:val="00E167C7"/>
    <w:rsid w:val="00EC47F6"/>
    <w:rsid w:val="00F11C9E"/>
    <w:rsid w:val="00F24692"/>
    <w:rsid w:val="00F66032"/>
    <w:rsid w:val="00F958C2"/>
    <w:rsid w:val="01FB23CB"/>
    <w:rsid w:val="05B63AFE"/>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2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sid w:val="00991125"/>
    <w:rPr>
      <w:b/>
      <w:bCs/>
    </w:rPr>
  </w:style>
  <w:style w:type="paragraph" w:styleId="a4">
    <w:name w:val="annotation text"/>
    <w:basedOn w:val="a"/>
    <w:link w:val="Char0"/>
    <w:semiHidden/>
    <w:unhideWhenUsed/>
    <w:rsid w:val="00991125"/>
    <w:pPr>
      <w:jc w:val="left"/>
    </w:pPr>
  </w:style>
  <w:style w:type="paragraph" w:styleId="a5">
    <w:name w:val="Balloon Text"/>
    <w:basedOn w:val="a"/>
    <w:link w:val="Char1"/>
    <w:semiHidden/>
    <w:unhideWhenUsed/>
    <w:rsid w:val="00991125"/>
    <w:rPr>
      <w:sz w:val="18"/>
      <w:szCs w:val="18"/>
    </w:rPr>
  </w:style>
  <w:style w:type="paragraph" w:styleId="a6">
    <w:name w:val="footer"/>
    <w:basedOn w:val="a"/>
    <w:link w:val="Char2"/>
    <w:rsid w:val="00991125"/>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Char3"/>
    <w:rsid w:val="00991125"/>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991125"/>
    <w:rPr>
      <w:rFonts w:ascii="Times New Roman" w:hAnsi="Times New Roman" w:cs="Times New Roman"/>
      <w:szCs w:val="24"/>
    </w:rPr>
  </w:style>
  <w:style w:type="paragraph" w:styleId="2">
    <w:name w:val="toc 2"/>
    <w:basedOn w:val="a"/>
    <w:next w:val="a"/>
    <w:rsid w:val="00991125"/>
    <w:pPr>
      <w:ind w:leftChars="200" w:left="420"/>
    </w:pPr>
    <w:rPr>
      <w:rFonts w:ascii="Times New Roman" w:hAnsi="Times New Roman" w:cs="Times New Roman"/>
      <w:szCs w:val="24"/>
    </w:rPr>
  </w:style>
  <w:style w:type="character" w:styleId="a8">
    <w:name w:val="annotation reference"/>
    <w:basedOn w:val="a0"/>
    <w:semiHidden/>
    <w:unhideWhenUsed/>
    <w:rsid w:val="00991125"/>
    <w:rPr>
      <w:sz w:val="21"/>
      <w:szCs w:val="21"/>
    </w:rPr>
  </w:style>
  <w:style w:type="character" w:customStyle="1" w:styleId="Char3">
    <w:name w:val="页眉 Char"/>
    <w:basedOn w:val="a0"/>
    <w:link w:val="a7"/>
    <w:qFormat/>
    <w:rsid w:val="00991125"/>
    <w:rPr>
      <w:rFonts w:ascii="Times New Roman" w:eastAsia="宋体" w:hAnsi="Times New Roman" w:cs="Times New Roman"/>
      <w:sz w:val="18"/>
      <w:szCs w:val="18"/>
    </w:rPr>
  </w:style>
  <w:style w:type="character" w:customStyle="1" w:styleId="Char2">
    <w:name w:val="页脚 Char"/>
    <w:basedOn w:val="a0"/>
    <w:link w:val="a6"/>
    <w:qFormat/>
    <w:rsid w:val="00991125"/>
    <w:rPr>
      <w:rFonts w:ascii="Times New Roman" w:eastAsia="宋体" w:hAnsi="Times New Roman" w:cs="Times New Roman"/>
      <w:sz w:val="18"/>
      <w:szCs w:val="18"/>
    </w:rPr>
  </w:style>
  <w:style w:type="character" w:customStyle="1" w:styleId="Char0">
    <w:name w:val="批注文字 Char"/>
    <w:basedOn w:val="a0"/>
    <w:link w:val="a4"/>
    <w:semiHidden/>
    <w:rsid w:val="00991125"/>
    <w:rPr>
      <w:rFonts w:ascii="Calibri" w:hAnsi="Calibri" w:cs="黑体"/>
      <w:kern w:val="2"/>
      <w:sz w:val="21"/>
      <w:szCs w:val="22"/>
    </w:rPr>
  </w:style>
  <w:style w:type="character" w:customStyle="1" w:styleId="Char">
    <w:name w:val="批注主题 Char"/>
    <w:basedOn w:val="Char0"/>
    <w:link w:val="a3"/>
    <w:semiHidden/>
    <w:rsid w:val="00991125"/>
    <w:rPr>
      <w:rFonts w:ascii="Calibri" w:hAnsi="Calibri" w:cs="黑体"/>
      <w:b/>
      <w:bCs/>
      <w:kern w:val="2"/>
      <w:sz w:val="21"/>
      <w:szCs w:val="22"/>
    </w:rPr>
  </w:style>
  <w:style w:type="character" w:customStyle="1" w:styleId="Char1">
    <w:name w:val="批注框文本 Char"/>
    <w:basedOn w:val="a0"/>
    <w:link w:val="a5"/>
    <w:semiHidden/>
    <w:rsid w:val="00991125"/>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2198</Words>
  <Characters>12529</Characters>
  <Application>Microsoft Office Word</Application>
  <DocSecurity>0</DocSecurity>
  <Lines>104</Lines>
  <Paragraphs>29</Paragraphs>
  <ScaleCrop>false</ScaleCrop>
  <Company>微软中国</Company>
  <LinksUpToDate>false</LinksUpToDate>
  <CharactersWithSpaces>14698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12</cp:revision>
  <cp:lastPrinted>2017-02-07T01:57:00Z</cp:lastPrinted>
  <dcterms:created xsi:type="dcterms:W3CDTF">2017-04-25T03:22:00Z</dcterms:created>
  <dcterms:modified xsi:type="dcterms:W3CDTF">2019-03-14T06:59:00Z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