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BE" w:rsidRPr="00263CC0" w:rsidRDefault="00C55356">
      <w:pPr>
        <w:jc w:val="center"/>
        <w:rPr>
          <w:rFonts w:ascii="方正小标宋简体" w:eastAsia="方正小标宋简体" w:hAnsi="Times New Roman" w:cs="Times New Roman"/>
          <w:sz w:val="44"/>
          <w:szCs w:val="44"/>
        </w:rPr>
      </w:pPr>
      <w:r w:rsidRPr="00263CC0">
        <w:rPr>
          <w:rFonts w:ascii="方正小标宋简体" w:eastAsia="方正小标宋简体" w:hAnsi="Times New Roman" w:cs="Times New Roman" w:hint="eastAsia"/>
          <w:sz w:val="44"/>
          <w:szCs w:val="44"/>
        </w:rPr>
        <w:t>北戴河新区人民检察院2018年部门预算信息公开说明</w:t>
      </w:r>
    </w:p>
    <w:p w:rsidR="005E5EBE" w:rsidRPr="00263CC0" w:rsidRDefault="00C55356">
      <w:pPr>
        <w:ind w:firstLineChars="200" w:firstLine="640"/>
        <w:rPr>
          <w:rFonts w:ascii="方正仿宋简体" w:eastAsia="方正仿宋简体" w:hAnsi="Times New Roman" w:cs="Times New Roman"/>
          <w:sz w:val="32"/>
          <w:szCs w:val="32"/>
        </w:rPr>
      </w:pPr>
      <w:r w:rsidRPr="00263CC0">
        <w:rPr>
          <w:rFonts w:ascii="方正仿宋简体" w:eastAsia="方正仿宋简体" w:hAnsi="Times New Roman" w:cs="Times New Roman" w:hint="eastAsia"/>
          <w:sz w:val="32"/>
          <w:szCs w:val="32"/>
        </w:rPr>
        <w:t>按照《预算法》、《地方预决算公开操作规程》和《河北省省级预算公开办法》规定，现将2018年部门预算公开如下：</w:t>
      </w:r>
    </w:p>
    <w:p w:rsidR="005E5EBE" w:rsidRPr="00263CC0" w:rsidRDefault="00C55356">
      <w:pPr>
        <w:ind w:firstLine="640"/>
        <w:rPr>
          <w:rFonts w:ascii="黑体" w:eastAsia="黑体" w:hAnsi="黑体" w:cs="Times New Roman"/>
          <w:sz w:val="32"/>
          <w:szCs w:val="32"/>
        </w:rPr>
      </w:pPr>
      <w:r w:rsidRPr="00263CC0">
        <w:rPr>
          <w:rFonts w:ascii="黑体" w:eastAsia="黑体" w:hAnsi="黑体" w:cs="Times New Roman" w:hint="eastAsia"/>
          <w:sz w:val="32"/>
          <w:szCs w:val="32"/>
        </w:rPr>
        <w:t>一、部门职责及机构设置情况</w:t>
      </w:r>
    </w:p>
    <w:p w:rsidR="005E5EBE" w:rsidRPr="00CA42DB" w:rsidRDefault="00C55356" w:rsidP="00263CC0">
      <w:pPr>
        <w:snapToGrid w:val="0"/>
        <w:spacing w:line="520" w:lineRule="exact"/>
        <w:ind w:firstLineChars="200" w:firstLine="643"/>
        <w:rPr>
          <w:rFonts w:ascii="方正仿宋简体" w:eastAsia="方正仿宋简体" w:hAnsi="Times New Roman" w:cs="Times New Roman"/>
          <w:sz w:val="32"/>
          <w:szCs w:val="32"/>
        </w:rPr>
      </w:pPr>
      <w:r w:rsidRPr="00263CC0">
        <w:rPr>
          <w:rFonts w:ascii="方正仿宋简体" w:eastAsia="方正仿宋简体" w:hAnsi="Times New Roman" w:cs="Times New Roman" w:hint="eastAsia"/>
          <w:b/>
          <w:sz w:val="32"/>
          <w:szCs w:val="32"/>
        </w:rPr>
        <w:t>部门</w:t>
      </w:r>
      <w:r w:rsidRPr="00263CC0">
        <w:rPr>
          <w:rFonts w:ascii="方正仿宋简体" w:eastAsia="方正仿宋简体" w:hAnsi="Times New Roman" w:cs="Times New Roman"/>
          <w:b/>
          <w:sz w:val="32"/>
          <w:szCs w:val="32"/>
        </w:rPr>
        <w:t>职责：</w:t>
      </w:r>
      <w:r w:rsidRPr="00CA42DB">
        <w:rPr>
          <w:rFonts w:ascii="方正仿宋简体" w:eastAsia="方正仿宋简体" w:hAnsi="Times New Roman" w:cs="Times New Roman" w:hint="eastAsia"/>
          <w:sz w:val="32"/>
          <w:szCs w:val="32"/>
        </w:rPr>
        <w:t>反贪污贿赂局（反渎职侵权局）负责对辖区内职务犯罪案件的初查、立案侦查和移送起诉；负责职务犯罪预防工作；负责对刑罚执行活动的监督；执行传唤、拘传和协助执行其它强制措施，参与搜查、提押、看管犯罪嫌疑人、被告人、送达法律文书；负责本院接待群众来访场所的秩序和安全，参与处置突发事件。综合办公室（纪检监察室、政治处）负责文件起草、秘书事务、机要通信、会议组织、工作协调、督办催办、文件处理、档案管理、保密和外事等工作；负责本院计财装备、检察技术、法律政策研究工作；负责干部队伍管理、机关党的建设、新闻宣传、教育培训、纪检检察等工作。案件管理办公室负责对受理案件的登记和归口分流；负责案件统计报表工作；对所办案件进行事前、事中、事后全程动态监督；负责举报、控告申诉和刑事赔偿工作；负责人民监督员办公室工作。刑事检察科负责辖区内刑事犯罪案件的审查逮捕、审查起诉、出庭公诉和社会管理工作；依法履行立案、侦查活动、监外执行、审判活动等监督职能；依法对民事、行政诉讼和审判活动进行法律监</w:t>
      </w:r>
      <w:r w:rsidRPr="00CA42DB">
        <w:rPr>
          <w:rFonts w:ascii="方正仿宋简体" w:eastAsia="方正仿宋简体" w:hAnsi="Times New Roman" w:cs="Times New Roman" w:hint="eastAsia"/>
          <w:sz w:val="32"/>
          <w:szCs w:val="32"/>
        </w:rPr>
        <w:lastRenderedPageBreak/>
        <w:t>督。</w:t>
      </w:r>
    </w:p>
    <w:p w:rsidR="005E5EBE" w:rsidRPr="00263CC0" w:rsidRDefault="005E5EBE">
      <w:pPr>
        <w:snapToGrid w:val="0"/>
        <w:spacing w:line="520" w:lineRule="exact"/>
        <w:ind w:firstLineChars="200" w:firstLine="560"/>
        <w:rPr>
          <w:rFonts w:ascii="方正黑体_GBK" w:eastAsia="方正黑体_GBK"/>
          <w:sz w:val="28"/>
        </w:rPr>
      </w:pPr>
    </w:p>
    <w:p w:rsidR="005E5EBE" w:rsidRPr="00263CC0" w:rsidRDefault="00C55356" w:rsidP="00263CC0">
      <w:pPr>
        <w:autoSpaceDE w:val="0"/>
        <w:autoSpaceDN w:val="0"/>
        <w:adjustRightInd w:val="0"/>
        <w:ind w:firstLineChars="200" w:firstLine="643"/>
        <w:jc w:val="left"/>
        <w:rPr>
          <w:rFonts w:ascii="方正仿宋简体" w:eastAsia="方正仿宋简体" w:hAnsi="Times New Roman" w:cs="Times New Roman"/>
          <w:b/>
          <w:sz w:val="32"/>
          <w:szCs w:val="32"/>
        </w:rPr>
      </w:pPr>
      <w:r w:rsidRPr="00263CC0">
        <w:rPr>
          <w:rFonts w:ascii="方正仿宋简体" w:eastAsia="方正仿宋简体" w:hAnsi="Times New Roman" w:cs="Times New Roman" w:hint="eastAsia"/>
          <w:b/>
          <w:sz w:val="32"/>
          <w:szCs w:val="32"/>
        </w:rPr>
        <w:t>机构设置：</w:t>
      </w:r>
    </w:p>
    <w:p w:rsidR="005E5EBE" w:rsidRPr="00263CC0" w:rsidRDefault="00C55356">
      <w:pPr>
        <w:jc w:val="center"/>
        <w:outlineLvl w:val="0"/>
        <w:rPr>
          <w:rFonts w:ascii="Times New Roman" w:eastAsia="方正小标宋_GBK" w:hAnsi="Times New Roman" w:cs="Times New Roman"/>
          <w:sz w:val="32"/>
          <w:szCs w:val="24"/>
        </w:rPr>
      </w:pPr>
      <w:r w:rsidRPr="00263CC0">
        <w:rPr>
          <w:rFonts w:ascii="Times New Roman" w:eastAsia="方正小标宋_GBK" w:hAnsi="Times New Roman" w:cs="Times New Roman"/>
          <w:sz w:val="32"/>
          <w:szCs w:val="24"/>
        </w:rPr>
        <w:t>部门</w:t>
      </w:r>
      <w:r w:rsidRPr="00263CC0">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5E5EBE" w:rsidRPr="00263CC0">
        <w:trPr>
          <w:trHeight w:val="300"/>
          <w:tblHeader/>
          <w:jc w:val="center"/>
        </w:trPr>
        <w:tc>
          <w:tcPr>
            <w:tcW w:w="4417" w:type="dxa"/>
            <w:vMerge w:val="restart"/>
            <w:vAlign w:val="center"/>
          </w:tcPr>
          <w:p w:rsidR="005E5EBE" w:rsidRPr="00263CC0" w:rsidRDefault="00C55356">
            <w:pPr>
              <w:spacing w:line="300" w:lineRule="exact"/>
              <w:jc w:val="center"/>
              <w:rPr>
                <w:rFonts w:ascii="Times New Roman" w:eastAsia="方正书宋_GBK" w:hAnsi="Times New Roman" w:cs="Times New Roman"/>
                <w:b/>
                <w:szCs w:val="24"/>
              </w:rPr>
            </w:pPr>
            <w:r w:rsidRPr="00263CC0">
              <w:rPr>
                <w:rFonts w:ascii="Times New Roman" w:eastAsia="方正书宋_GBK" w:hAnsi="Times New Roman" w:cs="Times New Roman"/>
                <w:b/>
                <w:szCs w:val="24"/>
              </w:rPr>
              <w:t>单位名称</w:t>
            </w:r>
          </w:p>
        </w:tc>
        <w:tc>
          <w:tcPr>
            <w:tcW w:w="1134" w:type="dxa"/>
            <w:vMerge w:val="restart"/>
            <w:vAlign w:val="center"/>
          </w:tcPr>
          <w:p w:rsidR="005E5EBE" w:rsidRPr="00263CC0" w:rsidRDefault="00C55356">
            <w:pPr>
              <w:spacing w:line="300" w:lineRule="exact"/>
              <w:jc w:val="center"/>
              <w:rPr>
                <w:rFonts w:ascii="Times New Roman" w:eastAsia="方正书宋_GBK" w:hAnsi="Times New Roman" w:cs="Times New Roman"/>
                <w:b/>
                <w:szCs w:val="24"/>
              </w:rPr>
            </w:pPr>
            <w:r w:rsidRPr="00263CC0">
              <w:rPr>
                <w:rFonts w:ascii="Times New Roman" w:eastAsia="方正书宋_GBK" w:hAnsi="Times New Roman" w:cs="Times New Roman"/>
                <w:b/>
                <w:szCs w:val="24"/>
              </w:rPr>
              <w:t>单位性质</w:t>
            </w:r>
          </w:p>
        </w:tc>
        <w:tc>
          <w:tcPr>
            <w:tcW w:w="1276" w:type="dxa"/>
            <w:vMerge w:val="restart"/>
            <w:vAlign w:val="center"/>
          </w:tcPr>
          <w:p w:rsidR="005E5EBE" w:rsidRPr="00263CC0" w:rsidRDefault="00C55356">
            <w:pPr>
              <w:spacing w:line="300" w:lineRule="exact"/>
              <w:jc w:val="center"/>
              <w:rPr>
                <w:rFonts w:ascii="Times New Roman" w:eastAsia="方正书宋_GBK" w:hAnsi="Times New Roman" w:cs="Times New Roman"/>
                <w:b/>
                <w:szCs w:val="24"/>
              </w:rPr>
            </w:pPr>
            <w:r w:rsidRPr="00263CC0">
              <w:rPr>
                <w:rFonts w:ascii="Times New Roman" w:eastAsia="方正书宋_GBK" w:hAnsi="Times New Roman" w:cs="Times New Roman"/>
                <w:b/>
                <w:szCs w:val="24"/>
              </w:rPr>
              <w:t>单位规格</w:t>
            </w:r>
          </w:p>
        </w:tc>
        <w:tc>
          <w:tcPr>
            <w:tcW w:w="2902" w:type="dxa"/>
            <w:vMerge w:val="restart"/>
            <w:vAlign w:val="center"/>
          </w:tcPr>
          <w:p w:rsidR="005E5EBE" w:rsidRPr="00263CC0" w:rsidRDefault="00C55356">
            <w:pPr>
              <w:spacing w:line="300" w:lineRule="exact"/>
              <w:jc w:val="center"/>
              <w:rPr>
                <w:rFonts w:ascii="Times New Roman" w:eastAsia="方正书宋_GBK" w:hAnsi="Times New Roman" w:cs="Times New Roman"/>
                <w:b/>
                <w:szCs w:val="24"/>
              </w:rPr>
            </w:pPr>
            <w:r w:rsidRPr="00263CC0">
              <w:rPr>
                <w:rFonts w:ascii="Times New Roman" w:eastAsia="方正书宋_GBK" w:hAnsi="Times New Roman" w:cs="Times New Roman"/>
                <w:b/>
                <w:szCs w:val="24"/>
              </w:rPr>
              <w:t>经费保障形式</w:t>
            </w:r>
          </w:p>
        </w:tc>
      </w:tr>
      <w:tr w:rsidR="005E5EBE" w:rsidRPr="00263CC0">
        <w:trPr>
          <w:trHeight w:val="300"/>
          <w:tblHeader/>
          <w:jc w:val="center"/>
        </w:trPr>
        <w:tc>
          <w:tcPr>
            <w:tcW w:w="4417" w:type="dxa"/>
            <w:vMerge/>
            <w:vAlign w:val="center"/>
          </w:tcPr>
          <w:p w:rsidR="005E5EBE" w:rsidRPr="00263CC0" w:rsidRDefault="005E5EBE">
            <w:pPr>
              <w:spacing w:line="300" w:lineRule="exact"/>
              <w:jc w:val="left"/>
              <w:outlineLvl w:val="0"/>
              <w:rPr>
                <w:rFonts w:ascii="Times New Roman" w:hAnsi="Times New Roman" w:cs="Times New Roman"/>
                <w:szCs w:val="24"/>
              </w:rPr>
            </w:pPr>
          </w:p>
        </w:tc>
        <w:tc>
          <w:tcPr>
            <w:tcW w:w="1134" w:type="dxa"/>
            <w:vMerge/>
            <w:vAlign w:val="center"/>
          </w:tcPr>
          <w:p w:rsidR="005E5EBE" w:rsidRPr="00263CC0" w:rsidRDefault="005E5EBE">
            <w:pPr>
              <w:spacing w:line="300" w:lineRule="exact"/>
              <w:jc w:val="left"/>
              <w:outlineLvl w:val="0"/>
              <w:rPr>
                <w:rFonts w:ascii="Times New Roman" w:hAnsi="Times New Roman" w:cs="Times New Roman"/>
                <w:szCs w:val="24"/>
              </w:rPr>
            </w:pPr>
          </w:p>
        </w:tc>
        <w:tc>
          <w:tcPr>
            <w:tcW w:w="1276" w:type="dxa"/>
            <w:vMerge/>
            <w:vAlign w:val="center"/>
          </w:tcPr>
          <w:p w:rsidR="005E5EBE" w:rsidRPr="00263CC0" w:rsidRDefault="005E5EBE">
            <w:pPr>
              <w:spacing w:line="300" w:lineRule="exact"/>
              <w:jc w:val="left"/>
              <w:outlineLvl w:val="0"/>
              <w:rPr>
                <w:rFonts w:ascii="Times New Roman" w:hAnsi="Times New Roman" w:cs="Times New Roman"/>
                <w:szCs w:val="24"/>
              </w:rPr>
            </w:pPr>
          </w:p>
        </w:tc>
        <w:tc>
          <w:tcPr>
            <w:tcW w:w="2902" w:type="dxa"/>
            <w:vMerge/>
            <w:vAlign w:val="center"/>
          </w:tcPr>
          <w:p w:rsidR="005E5EBE" w:rsidRPr="00263CC0" w:rsidRDefault="005E5EBE">
            <w:pPr>
              <w:spacing w:line="300" w:lineRule="exact"/>
              <w:jc w:val="left"/>
              <w:outlineLvl w:val="0"/>
              <w:rPr>
                <w:rFonts w:ascii="Times New Roman" w:hAnsi="Times New Roman" w:cs="Times New Roman"/>
                <w:szCs w:val="24"/>
              </w:rPr>
            </w:pPr>
          </w:p>
        </w:tc>
      </w:tr>
      <w:tr w:rsidR="005E5EBE" w:rsidRPr="00263CC0">
        <w:trPr>
          <w:trHeight w:val="227"/>
          <w:jc w:val="center"/>
        </w:trPr>
        <w:tc>
          <w:tcPr>
            <w:tcW w:w="4417" w:type="dxa"/>
            <w:vAlign w:val="center"/>
          </w:tcPr>
          <w:p w:rsidR="005E5EBE" w:rsidRPr="00263CC0" w:rsidRDefault="00C55356">
            <w:pPr>
              <w:spacing w:line="300" w:lineRule="exact"/>
              <w:jc w:val="left"/>
              <w:rPr>
                <w:rFonts w:ascii="Times New Roman" w:eastAsia="方正书宋_GBK" w:hAnsi="Times New Roman" w:cs="Times New Roman"/>
                <w:szCs w:val="24"/>
              </w:rPr>
            </w:pPr>
            <w:r w:rsidRPr="00263CC0">
              <w:rPr>
                <w:rFonts w:ascii="方正书宋_GBK" w:eastAsia="方正书宋_GBK" w:hint="eastAsia"/>
              </w:rPr>
              <w:t>北戴河新区人民检察院</w:t>
            </w:r>
          </w:p>
        </w:tc>
        <w:tc>
          <w:tcPr>
            <w:tcW w:w="1134" w:type="dxa"/>
            <w:vAlign w:val="center"/>
          </w:tcPr>
          <w:p w:rsidR="005E5EBE" w:rsidRPr="00263CC0" w:rsidRDefault="00C55356">
            <w:pPr>
              <w:spacing w:line="300" w:lineRule="exact"/>
              <w:jc w:val="center"/>
              <w:rPr>
                <w:rFonts w:ascii="Times New Roman" w:eastAsia="方正书宋_GBK" w:hAnsi="Times New Roman" w:cs="Times New Roman"/>
                <w:szCs w:val="24"/>
              </w:rPr>
            </w:pPr>
            <w:r w:rsidRPr="00263CC0">
              <w:rPr>
                <w:rFonts w:ascii="方正书宋_GBK" w:eastAsia="方正书宋_GBK" w:hint="eastAsia"/>
              </w:rPr>
              <w:t>行政</w:t>
            </w:r>
          </w:p>
        </w:tc>
        <w:tc>
          <w:tcPr>
            <w:tcW w:w="1276" w:type="dxa"/>
            <w:vAlign w:val="center"/>
          </w:tcPr>
          <w:p w:rsidR="005E5EBE" w:rsidRPr="00263CC0" w:rsidRDefault="00C55356">
            <w:pPr>
              <w:spacing w:line="300" w:lineRule="exact"/>
              <w:jc w:val="center"/>
              <w:rPr>
                <w:rFonts w:ascii="Times New Roman" w:eastAsia="方正书宋_GBK" w:hAnsi="Times New Roman" w:cs="Times New Roman"/>
                <w:szCs w:val="24"/>
              </w:rPr>
            </w:pPr>
            <w:r w:rsidRPr="00263CC0">
              <w:rPr>
                <w:rFonts w:ascii="方正书宋_GBK" w:eastAsia="方正书宋_GBK" w:hint="eastAsia"/>
              </w:rPr>
              <w:t>正处级</w:t>
            </w:r>
          </w:p>
        </w:tc>
        <w:tc>
          <w:tcPr>
            <w:tcW w:w="2902" w:type="dxa"/>
            <w:vAlign w:val="center"/>
          </w:tcPr>
          <w:p w:rsidR="005E5EBE" w:rsidRPr="00263CC0" w:rsidRDefault="00C55356">
            <w:pPr>
              <w:spacing w:line="300" w:lineRule="exact"/>
              <w:jc w:val="center"/>
              <w:rPr>
                <w:rFonts w:ascii="Times New Roman" w:eastAsia="方正书宋_GBK" w:hAnsi="Times New Roman" w:cs="Times New Roman"/>
                <w:szCs w:val="24"/>
              </w:rPr>
            </w:pPr>
            <w:r w:rsidRPr="00263CC0">
              <w:rPr>
                <w:rFonts w:ascii="方正书宋_GBK" w:eastAsia="方正书宋_GBK" w:hint="eastAsia"/>
              </w:rPr>
              <w:t>财政拨款</w:t>
            </w:r>
          </w:p>
        </w:tc>
      </w:tr>
      <w:tr w:rsidR="005E5EBE" w:rsidRPr="00263CC0">
        <w:trPr>
          <w:trHeight w:val="227"/>
          <w:jc w:val="center"/>
        </w:trPr>
        <w:tc>
          <w:tcPr>
            <w:tcW w:w="4417" w:type="dxa"/>
            <w:vAlign w:val="center"/>
          </w:tcPr>
          <w:p w:rsidR="005E5EBE" w:rsidRPr="00263CC0" w:rsidRDefault="005E5EBE">
            <w:pPr>
              <w:spacing w:line="300" w:lineRule="exact"/>
              <w:jc w:val="left"/>
              <w:rPr>
                <w:rFonts w:ascii="方正书宋_GBK" w:eastAsia="方正书宋_GBK"/>
              </w:rPr>
            </w:pPr>
          </w:p>
        </w:tc>
        <w:tc>
          <w:tcPr>
            <w:tcW w:w="1134" w:type="dxa"/>
            <w:vAlign w:val="center"/>
          </w:tcPr>
          <w:p w:rsidR="005E5EBE" w:rsidRPr="00263CC0" w:rsidRDefault="005E5EBE">
            <w:pPr>
              <w:spacing w:line="300" w:lineRule="exact"/>
              <w:jc w:val="center"/>
              <w:rPr>
                <w:rFonts w:ascii="Times New Roman" w:eastAsia="方正书宋_GBK" w:hAnsi="Times New Roman" w:cs="Times New Roman"/>
                <w:szCs w:val="24"/>
              </w:rPr>
            </w:pPr>
          </w:p>
        </w:tc>
        <w:tc>
          <w:tcPr>
            <w:tcW w:w="1276" w:type="dxa"/>
            <w:vAlign w:val="center"/>
          </w:tcPr>
          <w:p w:rsidR="005E5EBE" w:rsidRPr="00263CC0" w:rsidRDefault="005E5EBE">
            <w:pPr>
              <w:spacing w:line="300" w:lineRule="exact"/>
              <w:jc w:val="center"/>
              <w:rPr>
                <w:rFonts w:ascii="Times New Roman" w:eastAsia="方正书宋_GBK" w:hAnsi="Times New Roman" w:cs="Times New Roman"/>
                <w:szCs w:val="24"/>
              </w:rPr>
            </w:pPr>
          </w:p>
        </w:tc>
        <w:tc>
          <w:tcPr>
            <w:tcW w:w="2902" w:type="dxa"/>
            <w:vAlign w:val="center"/>
          </w:tcPr>
          <w:p w:rsidR="005E5EBE" w:rsidRPr="00263CC0" w:rsidRDefault="005E5EBE">
            <w:pPr>
              <w:spacing w:line="300" w:lineRule="exact"/>
              <w:jc w:val="center"/>
              <w:rPr>
                <w:rFonts w:ascii="Times New Roman" w:eastAsia="方正书宋_GBK" w:hAnsi="Times New Roman" w:cs="Times New Roman"/>
                <w:szCs w:val="24"/>
              </w:rPr>
            </w:pPr>
          </w:p>
        </w:tc>
      </w:tr>
      <w:tr w:rsidR="005E5EBE" w:rsidRPr="00263CC0">
        <w:trPr>
          <w:trHeight w:val="227"/>
          <w:jc w:val="center"/>
        </w:trPr>
        <w:tc>
          <w:tcPr>
            <w:tcW w:w="4417" w:type="dxa"/>
            <w:vAlign w:val="center"/>
          </w:tcPr>
          <w:p w:rsidR="005E5EBE" w:rsidRPr="00263CC0" w:rsidRDefault="005E5EBE">
            <w:pPr>
              <w:spacing w:line="300" w:lineRule="exact"/>
              <w:jc w:val="left"/>
              <w:rPr>
                <w:rFonts w:ascii="Times New Roman" w:eastAsia="方正书宋_GBK" w:hAnsi="Times New Roman" w:cs="Times New Roman"/>
                <w:szCs w:val="24"/>
              </w:rPr>
            </w:pPr>
          </w:p>
        </w:tc>
        <w:tc>
          <w:tcPr>
            <w:tcW w:w="1134" w:type="dxa"/>
            <w:vAlign w:val="center"/>
          </w:tcPr>
          <w:p w:rsidR="005E5EBE" w:rsidRPr="00263CC0" w:rsidRDefault="005E5EBE">
            <w:pPr>
              <w:spacing w:line="300" w:lineRule="exact"/>
              <w:jc w:val="center"/>
              <w:rPr>
                <w:rFonts w:ascii="Times New Roman" w:eastAsia="方正书宋_GBK" w:hAnsi="Times New Roman" w:cs="Times New Roman"/>
                <w:szCs w:val="24"/>
              </w:rPr>
            </w:pPr>
          </w:p>
        </w:tc>
        <w:tc>
          <w:tcPr>
            <w:tcW w:w="1276" w:type="dxa"/>
            <w:vAlign w:val="center"/>
          </w:tcPr>
          <w:p w:rsidR="005E5EBE" w:rsidRPr="00263CC0" w:rsidRDefault="005E5EBE">
            <w:pPr>
              <w:spacing w:line="300" w:lineRule="exact"/>
              <w:jc w:val="center"/>
              <w:rPr>
                <w:rFonts w:ascii="Times New Roman" w:eastAsia="方正书宋_GBK" w:hAnsi="Times New Roman" w:cs="Times New Roman"/>
                <w:szCs w:val="24"/>
              </w:rPr>
            </w:pPr>
          </w:p>
        </w:tc>
        <w:tc>
          <w:tcPr>
            <w:tcW w:w="2902" w:type="dxa"/>
            <w:vAlign w:val="center"/>
          </w:tcPr>
          <w:p w:rsidR="005E5EBE" w:rsidRPr="00263CC0" w:rsidRDefault="005E5EBE">
            <w:pPr>
              <w:spacing w:line="300" w:lineRule="exact"/>
              <w:jc w:val="center"/>
              <w:rPr>
                <w:rFonts w:ascii="Times New Roman" w:eastAsia="方正书宋_GBK" w:hAnsi="Times New Roman" w:cs="Times New Roman"/>
                <w:szCs w:val="24"/>
              </w:rPr>
            </w:pPr>
          </w:p>
        </w:tc>
      </w:tr>
      <w:tr w:rsidR="005E5EBE" w:rsidRPr="00263CC0">
        <w:trPr>
          <w:trHeight w:val="227"/>
          <w:jc w:val="center"/>
        </w:trPr>
        <w:tc>
          <w:tcPr>
            <w:tcW w:w="4417" w:type="dxa"/>
            <w:vAlign w:val="center"/>
          </w:tcPr>
          <w:p w:rsidR="005E5EBE" w:rsidRPr="00263CC0" w:rsidRDefault="005E5EBE">
            <w:pPr>
              <w:spacing w:line="300" w:lineRule="exact"/>
              <w:jc w:val="left"/>
              <w:rPr>
                <w:rFonts w:ascii="Times New Roman" w:eastAsia="方正书宋_GBK" w:hAnsi="Times New Roman" w:cs="Times New Roman"/>
                <w:szCs w:val="24"/>
              </w:rPr>
            </w:pPr>
          </w:p>
        </w:tc>
        <w:tc>
          <w:tcPr>
            <w:tcW w:w="1134" w:type="dxa"/>
            <w:vAlign w:val="center"/>
          </w:tcPr>
          <w:p w:rsidR="005E5EBE" w:rsidRPr="00263CC0" w:rsidRDefault="005E5EBE">
            <w:pPr>
              <w:spacing w:line="300" w:lineRule="exact"/>
              <w:jc w:val="center"/>
              <w:rPr>
                <w:rFonts w:ascii="Times New Roman" w:eastAsia="方正书宋_GBK" w:hAnsi="Times New Roman" w:cs="Times New Roman"/>
                <w:szCs w:val="24"/>
              </w:rPr>
            </w:pPr>
          </w:p>
        </w:tc>
        <w:tc>
          <w:tcPr>
            <w:tcW w:w="1276" w:type="dxa"/>
            <w:vAlign w:val="center"/>
          </w:tcPr>
          <w:p w:rsidR="005E5EBE" w:rsidRPr="00263CC0" w:rsidRDefault="005E5EBE">
            <w:pPr>
              <w:spacing w:line="300" w:lineRule="exact"/>
              <w:jc w:val="center"/>
              <w:rPr>
                <w:rFonts w:ascii="Times New Roman" w:eastAsia="方正书宋_GBK" w:hAnsi="Times New Roman" w:cs="Times New Roman"/>
                <w:szCs w:val="24"/>
              </w:rPr>
            </w:pPr>
          </w:p>
        </w:tc>
        <w:tc>
          <w:tcPr>
            <w:tcW w:w="2902" w:type="dxa"/>
            <w:vAlign w:val="center"/>
          </w:tcPr>
          <w:p w:rsidR="005E5EBE" w:rsidRPr="00263CC0" w:rsidRDefault="005E5EBE">
            <w:pPr>
              <w:spacing w:line="300" w:lineRule="exact"/>
              <w:jc w:val="center"/>
              <w:rPr>
                <w:rFonts w:ascii="Times New Roman" w:eastAsia="方正书宋_GBK" w:hAnsi="Times New Roman" w:cs="Times New Roman"/>
                <w:szCs w:val="24"/>
              </w:rPr>
            </w:pPr>
          </w:p>
        </w:tc>
      </w:tr>
    </w:tbl>
    <w:p w:rsidR="005E5EBE" w:rsidRPr="00263CC0" w:rsidRDefault="005E5EBE"/>
    <w:p w:rsidR="005E5EBE" w:rsidRPr="00263CC0" w:rsidRDefault="00C55356">
      <w:pPr>
        <w:ind w:firstLine="640"/>
        <w:rPr>
          <w:rFonts w:ascii="黑体" w:eastAsia="黑体" w:hAnsi="黑体" w:cs="Times New Roman"/>
          <w:sz w:val="32"/>
          <w:szCs w:val="32"/>
        </w:rPr>
      </w:pPr>
      <w:r w:rsidRPr="00263CC0">
        <w:rPr>
          <w:rFonts w:ascii="黑体" w:eastAsia="黑体" w:hAnsi="黑体" w:cs="Times New Roman" w:hint="eastAsia"/>
          <w:sz w:val="32"/>
          <w:szCs w:val="32"/>
        </w:rPr>
        <w:t>二、部门预算安排的总体情况</w:t>
      </w:r>
    </w:p>
    <w:p w:rsidR="005E5EBE" w:rsidRPr="00263CC0" w:rsidRDefault="00C55356">
      <w:pPr>
        <w:ind w:firstLine="640"/>
        <w:rPr>
          <w:rFonts w:ascii="方正仿宋简体" w:eastAsia="方正仿宋简体" w:hAnsi="Times New Roman" w:cs="Times New Roman"/>
          <w:sz w:val="32"/>
          <w:szCs w:val="32"/>
        </w:rPr>
      </w:pPr>
      <w:r w:rsidRPr="00263CC0">
        <w:rPr>
          <w:rFonts w:ascii="方正仿宋简体" w:eastAsia="方正仿宋简体" w:hAnsi="Times New Roman" w:cs="Times New Roman"/>
          <w:sz w:val="32"/>
          <w:szCs w:val="32"/>
        </w:rPr>
        <w:t>按照预算管理有关规定，目前</w:t>
      </w:r>
      <w:r w:rsidRPr="00263CC0">
        <w:rPr>
          <w:rFonts w:ascii="方正仿宋简体" w:eastAsia="方正仿宋简体" w:hAnsi="Times New Roman" w:cs="Times New Roman" w:hint="eastAsia"/>
          <w:sz w:val="32"/>
          <w:szCs w:val="32"/>
        </w:rPr>
        <w:t>我区</w:t>
      </w:r>
      <w:r w:rsidRPr="00263CC0">
        <w:rPr>
          <w:rFonts w:ascii="方正仿宋简体" w:eastAsia="方正仿宋简体" w:hAnsi="Times New Roman" w:cs="Times New Roman"/>
          <w:sz w:val="32"/>
          <w:szCs w:val="32"/>
        </w:rPr>
        <w:t>部门预算的编制实行综合预算制度，即全部收入和支出都反映</w:t>
      </w:r>
      <w:r w:rsidRPr="00263CC0">
        <w:rPr>
          <w:rFonts w:ascii="方正仿宋简体" w:eastAsia="方正仿宋简体" w:hAnsi="Times New Roman" w:cs="Times New Roman" w:hint="eastAsia"/>
          <w:sz w:val="32"/>
          <w:szCs w:val="32"/>
        </w:rPr>
        <w:t>在</w:t>
      </w:r>
      <w:r w:rsidRPr="00263CC0">
        <w:rPr>
          <w:rFonts w:ascii="方正仿宋简体" w:eastAsia="方正仿宋简体" w:hAnsi="Times New Roman" w:cs="Times New Roman"/>
          <w:sz w:val="32"/>
          <w:szCs w:val="32"/>
        </w:rPr>
        <w:t>预算中。</w:t>
      </w:r>
      <w:r w:rsidRPr="00263CC0">
        <w:rPr>
          <w:rFonts w:ascii="方正仿宋简体" w:eastAsia="方正仿宋简体" w:hAnsi="Times New Roman" w:cs="Times New Roman" w:hint="eastAsia"/>
          <w:sz w:val="32"/>
          <w:szCs w:val="32"/>
        </w:rPr>
        <w:t>北戴河新区人民检察院</w:t>
      </w:r>
      <w:r w:rsidRPr="00263CC0">
        <w:rPr>
          <w:rFonts w:ascii="方正仿宋简体" w:eastAsia="方正仿宋简体" w:hAnsi="Times New Roman" w:cs="Times New Roman"/>
          <w:sz w:val="32"/>
          <w:szCs w:val="32"/>
        </w:rPr>
        <w:t>的收支包含在部门预算中。</w:t>
      </w:r>
    </w:p>
    <w:p w:rsidR="005E5EBE" w:rsidRPr="00263CC0" w:rsidRDefault="00C55356" w:rsidP="00263CC0">
      <w:pPr>
        <w:ind w:firstLineChars="200" w:firstLine="643"/>
        <w:rPr>
          <w:rFonts w:ascii="方正仿宋简体" w:eastAsia="方正仿宋简体" w:hAnsi="Times New Roman" w:cs="Times New Roman"/>
          <w:b/>
          <w:sz w:val="32"/>
          <w:szCs w:val="32"/>
        </w:rPr>
      </w:pPr>
      <w:r w:rsidRPr="00263CC0">
        <w:rPr>
          <w:rFonts w:ascii="方正仿宋简体" w:eastAsia="方正仿宋简体" w:hAnsi="Times New Roman" w:cs="Times New Roman" w:hint="eastAsia"/>
          <w:b/>
          <w:sz w:val="32"/>
          <w:szCs w:val="32"/>
        </w:rPr>
        <w:t>1.</w:t>
      </w:r>
      <w:r w:rsidRPr="00263CC0">
        <w:rPr>
          <w:rFonts w:ascii="方正仿宋简体" w:eastAsia="方正仿宋简体" w:hAnsi="Times New Roman" w:cs="Times New Roman"/>
          <w:b/>
          <w:sz w:val="32"/>
          <w:szCs w:val="32"/>
        </w:rPr>
        <w:t>收入说明</w:t>
      </w:r>
    </w:p>
    <w:p w:rsidR="005E5EBE" w:rsidRPr="00263CC0" w:rsidRDefault="00CA42DB">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反</w:t>
      </w:r>
      <w:r w:rsidR="00C55356" w:rsidRPr="00263CC0">
        <w:rPr>
          <w:rFonts w:ascii="方正仿宋简体" w:eastAsia="方正仿宋简体" w:hAnsi="Times New Roman" w:cs="Times New Roman" w:hint="eastAsia"/>
          <w:sz w:val="32"/>
          <w:szCs w:val="32"/>
        </w:rPr>
        <w:t>映本部门当年全部收入，2018年预算收入821.08万元，其中：一般公共预算拨款821.08万元（非限额补助0万元，提前通知转移支付0万元）；基金预算拨款0万元。</w:t>
      </w:r>
    </w:p>
    <w:p w:rsidR="005E5EBE" w:rsidRPr="00263CC0" w:rsidRDefault="00C55356">
      <w:pPr>
        <w:ind w:left="640"/>
        <w:rPr>
          <w:rFonts w:ascii="方正仿宋简体" w:eastAsia="方正仿宋简体" w:hAnsi="Times New Roman" w:cs="Times New Roman"/>
          <w:b/>
          <w:sz w:val="32"/>
          <w:szCs w:val="32"/>
        </w:rPr>
      </w:pPr>
      <w:r w:rsidRPr="00263CC0">
        <w:rPr>
          <w:rFonts w:ascii="方正仿宋简体" w:eastAsia="方正仿宋简体" w:hAnsi="Times New Roman" w:cs="Times New Roman" w:hint="eastAsia"/>
          <w:b/>
          <w:sz w:val="32"/>
          <w:szCs w:val="32"/>
        </w:rPr>
        <w:lastRenderedPageBreak/>
        <w:t>2.</w:t>
      </w:r>
      <w:r w:rsidRPr="00263CC0">
        <w:rPr>
          <w:rFonts w:ascii="方正仿宋简体" w:eastAsia="方正仿宋简体" w:hAnsi="Times New Roman" w:cs="Times New Roman"/>
          <w:b/>
          <w:sz w:val="32"/>
          <w:szCs w:val="32"/>
        </w:rPr>
        <w:t>支出说明</w:t>
      </w:r>
    </w:p>
    <w:p w:rsidR="005E5EBE" w:rsidRPr="00263CC0" w:rsidRDefault="00C55356">
      <w:pPr>
        <w:ind w:firstLineChars="150" w:firstLine="480"/>
        <w:rPr>
          <w:rFonts w:ascii="方正仿宋简体" w:eastAsia="方正仿宋简体" w:hAnsi="Times New Roman" w:cs="Times New Roman"/>
          <w:sz w:val="32"/>
          <w:szCs w:val="32"/>
        </w:rPr>
      </w:pPr>
      <w:r w:rsidRPr="00263CC0">
        <w:rPr>
          <w:rFonts w:ascii="方正仿宋简体" w:eastAsia="方正仿宋简体" w:hAnsi="Times New Roman" w:cs="Times New Roman" w:hint="eastAsia"/>
          <w:sz w:val="32"/>
          <w:szCs w:val="32"/>
        </w:rPr>
        <w:t>部门预算收支总表支出栏、基本支出表、项目支出表按经济分类和支出功能分类科目编制，反映部门预算中支出预算的总体情况。2018年部门支出预算为821.08万元，其中基本支出659.38万元，包括人员经费519.18万元和日常公用经费140.2万元；项目支出161.7万元，全部为本级支出。</w:t>
      </w:r>
    </w:p>
    <w:p w:rsidR="005E5EBE" w:rsidRPr="00263CC0" w:rsidRDefault="00C55356">
      <w:pPr>
        <w:ind w:left="640"/>
        <w:rPr>
          <w:rFonts w:ascii="方正仿宋简体" w:eastAsia="方正仿宋简体" w:hAnsi="Times New Roman" w:cs="Times New Roman"/>
          <w:b/>
          <w:sz w:val="32"/>
          <w:szCs w:val="32"/>
        </w:rPr>
      </w:pPr>
      <w:r w:rsidRPr="00263CC0">
        <w:rPr>
          <w:rFonts w:ascii="方正仿宋简体" w:eastAsia="方正仿宋简体" w:hAnsi="Times New Roman" w:cs="Times New Roman" w:hint="eastAsia"/>
          <w:b/>
          <w:sz w:val="32"/>
          <w:szCs w:val="32"/>
        </w:rPr>
        <w:t>3.</w:t>
      </w:r>
      <w:r w:rsidRPr="00263CC0">
        <w:rPr>
          <w:rFonts w:ascii="方正仿宋简体" w:eastAsia="方正仿宋简体" w:hAnsi="Times New Roman" w:cs="Times New Roman"/>
          <w:b/>
          <w:sz w:val="32"/>
          <w:szCs w:val="32"/>
        </w:rPr>
        <w:t>比上年增减情况</w:t>
      </w:r>
    </w:p>
    <w:p w:rsidR="005E5EBE" w:rsidRPr="00263CC0" w:rsidRDefault="00C55356">
      <w:pPr>
        <w:ind w:firstLineChars="200" w:firstLine="640"/>
        <w:rPr>
          <w:rFonts w:ascii="方正仿宋简体" w:eastAsia="方正仿宋简体" w:hAnsi="Times New Roman" w:cs="Times New Roman"/>
          <w:sz w:val="32"/>
          <w:szCs w:val="32"/>
        </w:rPr>
      </w:pPr>
      <w:r w:rsidRPr="00263CC0">
        <w:rPr>
          <w:rFonts w:ascii="方正仿宋简体" w:eastAsia="方正仿宋简体" w:hAnsi="Times New Roman" w:cs="Times New Roman" w:hint="eastAsia"/>
          <w:sz w:val="32"/>
          <w:szCs w:val="32"/>
        </w:rPr>
        <w:t>2018年部门预算较2017年增长54.34万元，其中：基本支出增长69.34万元，主要是增加人员经费；项目支出减少15万元，主要是政策性支出减少。</w:t>
      </w:r>
    </w:p>
    <w:p w:rsidR="005E5EBE" w:rsidRPr="00263CC0" w:rsidRDefault="00C55356">
      <w:pPr>
        <w:ind w:firstLine="640"/>
        <w:rPr>
          <w:rFonts w:ascii="黑体" w:eastAsia="黑体" w:hAnsi="黑体" w:cs="Times New Roman"/>
          <w:sz w:val="32"/>
          <w:szCs w:val="32"/>
        </w:rPr>
      </w:pPr>
      <w:r w:rsidRPr="00263CC0">
        <w:rPr>
          <w:rFonts w:ascii="黑体" w:eastAsia="黑体" w:hAnsi="黑体" w:cs="Times New Roman" w:hint="eastAsia"/>
          <w:sz w:val="32"/>
          <w:szCs w:val="32"/>
        </w:rPr>
        <w:t>三、机关运行经费安排情况</w:t>
      </w:r>
    </w:p>
    <w:p w:rsidR="005E5EBE" w:rsidRPr="00263CC0" w:rsidRDefault="00C55356">
      <w:pPr>
        <w:ind w:firstLine="640"/>
        <w:rPr>
          <w:rFonts w:ascii="黑体" w:eastAsia="黑体" w:hAnsi="黑体" w:cs="Times New Roman"/>
          <w:sz w:val="32"/>
          <w:szCs w:val="32"/>
        </w:rPr>
      </w:pPr>
      <w:r w:rsidRPr="00263CC0">
        <w:rPr>
          <w:rFonts w:ascii="方正仿宋简体" w:eastAsia="方正仿宋简体" w:hAnsi="Times New Roman" w:cs="Times New Roman" w:hint="eastAsia"/>
          <w:sz w:val="32"/>
          <w:szCs w:val="32"/>
        </w:rPr>
        <w:t>机关运行经费共计安排140.2万元，主要用于保证机关正常运转的办公及印刷费、邮电费、差旅费、会议费、福利费、专用材料及一般设备购置费、办公用房水电费、办公用房取暖费、日常维修费、办公楼物业管理费、公务车运行维护费等支出。</w:t>
      </w:r>
    </w:p>
    <w:p w:rsidR="005E5EBE" w:rsidRPr="00263CC0" w:rsidRDefault="00C55356">
      <w:pPr>
        <w:ind w:firstLine="640"/>
        <w:rPr>
          <w:rFonts w:ascii="黑体" w:eastAsia="黑体" w:hAnsi="黑体" w:cs="Times New Roman"/>
          <w:sz w:val="32"/>
          <w:szCs w:val="32"/>
        </w:rPr>
      </w:pPr>
      <w:r w:rsidRPr="00263CC0">
        <w:rPr>
          <w:rFonts w:ascii="黑体" w:eastAsia="黑体" w:hAnsi="黑体" w:cs="Times New Roman" w:hint="eastAsia"/>
          <w:sz w:val="32"/>
          <w:szCs w:val="32"/>
        </w:rPr>
        <w:t>四、财政拨款</w:t>
      </w:r>
      <w:r w:rsidRPr="00263CC0">
        <w:rPr>
          <w:rFonts w:ascii="黑体" w:eastAsia="黑体" w:hAnsi="黑体" w:cs="Times New Roman"/>
          <w:sz w:val="32"/>
          <w:szCs w:val="32"/>
        </w:rPr>
        <w:t>“</w:t>
      </w:r>
      <w:r w:rsidRPr="00263CC0">
        <w:rPr>
          <w:rFonts w:ascii="黑体" w:eastAsia="黑体" w:hAnsi="黑体" w:cs="Times New Roman" w:hint="eastAsia"/>
          <w:sz w:val="32"/>
          <w:szCs w:val="32"/>
        </w:rPr>
        <w:t>三公</w:t>
      </w:r>
      <w:r w:rsidRPr="00263CC0">
        <w:rPr>
          <w:rFonts w:ascii="黑体" w:eastAsia="黑体" w:hAnsi="黑体" w:cs="Times New Roman"/>
          <w:sz w:val="32"/>
          <w:szCs w:val="32"/>
        </w:rPr>
        <w:t>”</w:t>
      </w:r>
      <w:r w:rsidRPr="00263CC0">
        <w:rPr>
          <w:rFonts w:ascii="黑体" w:eastAsia="黑体" w:hAnsi="黑体" w:cs="Times New Roman" w:hint="eastAsia"/>
          <w:sz w:val="32"/>
          <w:szCs w:val="32"/>
        </w:rPr>
        <w:t>经费预算情况及增减变化原因</w:t>
      </w:r>
    </w:p>
    <w:p w:rsidR="005E5EBE" w:rsidRPr="00263CC0" w:rsidRDefault="00C55356">
      <w:pPr>
        <w:ind w:firstLine="640"/>
        <w:rPr>
          <w:rFonts w:ascii="黑体" w:eastAsia="黑体" w:hAnsi="黑体" w:cs="Times New Roman"/>
          <w:sz w:val="32"/>
          <w:szCs w:val="32"/>
        </w:rPr>
      </w:pPr>
      <w:r w:rsidRPr="00263CC0">
        <w:rPr>
          <w:rFonts w:ascii="方正仿宋简体" w:eastAsia="方正仿宋简体" w:hAnsi="Times New Roman" w:cs="Times New Roman" w:hint="eastAsia"/>
          <w:sz w:val="32"/>
          <w:szCs w:val="32"/>
        </w:rPr>
        <w:t>2018年，财政拨款“三公”经费预算安排17.67万元，其中：因公出国（境）费0万元；公务</w:t>
      </w:r>
      <w:r w:rsidRPr="00263CC0">
        <w:rPr>
          <w:rFonts w:ascii="方正仿宋简体" w:eastAsia="方正仿宋简体" w:hAnsi="Times New Roman" w:cs="Times New Roman" w:hint="eastAsia"/>
          <w:sz w:val="32"/>
          <w:szCs w:val="32"/>
        </w:rPr>
        <w:lastRenderedPageBreak/>
        <w:t>用车购置及运维费15.5万元（其中：公务用车运行费15.5万元)；公务接待费2.17万元。“三公”经费较上年下降41.3</w:t>
      </w:r>
      <w:bookmarkStart w:id="0" w:name="_GoBack"/>
      <w:bookmarkEnd w:id="0"/>
      <w:r w:rsidRPr="00263CC0">
        <w:rPr>
          <w:rFonts w:ascii="方正仿宋简体" w:eastAsia="方正仿宋简体" w:hAnsi="Times New Roman" w:cs="Times New Roman" w:hint="eastAsia"/>
          <w:sz w:val="32"/>
          <w:szCs w:val="32"/>
        </w:rPr>
        <w:t>%，主要原因是今年对“三公”经费等一般性支出进行了压减。</w:t>
      </w:r>
    </w:p>
    <w:p w:rsidR="005E5EBE" w:rsidRPr="00263CC0" w:rsidRDefault="00C55356">
      <w:pPr>
        <w:ind w:firstLine="640"/>
        <w:rPr>
          <w:rFonts w:ascii="黑体" w:eastAsia="黑体" w:hAnsi="黑体" w:cs="Times New Roman"/>
          <w:sz w:val="32"/>
          <w:szCs w:val="32"/>
        </w:rPr>
      </w:pPr>
      <w:r w:rsidRPr="00263CC0">
        <w:rPr>
          <w:rFonts w:ascii="黑体" w:eastAsia="黑体" w:hAnsi="黑体" w:cs="Times New Roman" w:hint="eastAsia"/>
          <w:sz w:val="32"/>
          <w:szCs w:val="32"/>
        </w:rPr>
        <w:t>五、绩效预算信息</w:t>
      </w:r>
    </w:p>
    <w:p w:rsidR="005E5EBE" w:rsidRPr="00263CC0" w:rsidRDefault="005E5EBE" w:rsidP="00263CC0">
      <w:pPr>
        <w:ind w:firstLineChars="200" w:firstLine="643"/>
        <w:jc w:val="left"/>
        <w:rPr>
          <w:rFonts w:ascii="方正仿宋简体" w:eastAsia="方正仿宋简体" w:hAnsi="Times New Roman" w:cs="Times New Roman"/>
          <w:b/>
          <w:sz w:val="32"/>
          <w:szCs w:val="32"/>
        </w:rPr>
      </w:pPr>
      <w:bookmarkStart w:id="1" w:name="_Toc471398463"/>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5E5EBE" w:rsidRPr="00263CC0">
        <w:trPr>
          <w:trHeight w:val="227"/>
          <w:tblHeader/>
          <w:jc w:val="center"/>
        </w:trPr>
        <w:tc>
          <w:tcPr>
            <w:tcW w:w="2341" w:type="dxa"/>
            <w:vMerge w:val="restart"/>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职责活动</w:t>
            </w:r>
          </w:p>
        </w:tc>
        <w:tc>
          <w:tcPr>
            <w:tcW w:w="1276" w:type="dxa"/>
            <w:vMerge w:val="restart"/>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年度预算数</w:t>
            </w:r>
          </w:p>
        </w:tc>
        <w:tc>
          <w:tcPr>
            <w:tcW w:w="2976" w:type="dxa"/>
            <w:vMerge w:val="restart"/>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内容描述</w:t>
            </w:r>
          </w:p>
        </w:tc>
        <w:tc>
          <w:tcPr>
            <w:tcW w:w="2976" w:type="dxa"/>
            <w:vMerge w:val="restart"/>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绩效目标</w:t>
            </w:r>
          </w:p>
        </w:tc>
        <w:tc>
          <w:tcPr>
            <w:tcW w:w="1417" w:type="dxa"/>
            <w:vMerge w:val="restart"/>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绩效指标</w:t>
            </w:r>
          </w:p>
        </w:tc>
        <w:tc>
          <w:tcPr>
            <w:tcW w:w="2948" w:type="dxa"/>
            <w:gridSpan w:val="4"/>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评价标准</w:t>
            </w:r>
          </w:p>
        </w:tc>
      </w:tr>
      <w:tr w:rsidR="005E5EBE" w:rsidRPr="00263CC0">
        <w:trPr>
          <w:trHeight w:val="227"/>
          <w:tblHeader/>
          <w:jc w:val="center"/>
        </w:trPr>
        <w:tc>
          <w:tcPr>
            <w:tcW w:w="2341" w:type="dxa"/>
            <w:vMerge/>
            <w:shd w:val="clear" w:color="auto" w:fill="auto"/>
            <w:vAlign w:val="center"/>
          </w:tcPr>
          <w:p w:rsidR="005E5EBE" w:rsidRPr="00263CC0" w:rsidRDefault="005E5EBE">
            <w:pPr>
              <w:spacing w:line="300" w:lineRule="exact"/>
              <w:jc w:val="left"/>
              <w:outlineLvl w:val="0"/>
            </w:pPr>
          </w:p>
        </w:tc>
        <w:tc>
          <w:tcPr>
            <w:tcW w:w="1276" w:type="dxa"/>
            <w:vMerge/>
            <w:shd w:val="clear" w:color="auto" w:fill="auto"/>
            <w:vAlign w:val="center"/>
          </w:tcPr>
          <w:p w:rsidR="005E5EBE" w:rsidRPr="00263CC0" w:rsidRDefault="005E5EBE">
            <w:pPr>
              <w:spacing w:line="300" w:lineRule="exact"/>
              <w:jc w:val="left"/>
              <w:outlineLvl w:val="0"/>
            </w:pPr>
          </w:p>
        </w:tc>
        <w:tc>
          <w:tcPr>
            <w:tcW w:w="2976" w:type="dxa"/>
            <w:vMerge/>
            <w:shd w:val="clear" w:color="auto" w:fill="auto"/>
            <w:vAlign w:val="center"/>
          </w:tcPr>
          <w:p w:rsidR="005E5EBE" w:rsidRPr="00263CC0" w:rsidRDefault="005E5EBE">
            <w:pPr>
              <w:spacing w:line="300" w:lineRule="exact"/>
              <w:jc w:val="left"/>
              <w:outlineLvl w:val="0"/>
            </w:pPr>
          </w:p>
        </w:tc>
        <w:tc>
          <w:tcPr>
            <w:tcW w:w="2976" w:type="dxa"/>
            <w:vMerge/>
            <w:shd w:val="clear" w:color="auto" w:fill="auto"/>
            <w:vAlign w:val="center"/>
          </w:tcPr>
          <w:p w:rsidR="005E5EBE" w:rsidRPr="00263CC0" w:rsidRDefault="005E5EBE">
            <w:pPr>
              <w:spacing w:line="300" w:lineRule="exact"/>
              <w:jc w:val="left"/>
              <w:outlineLvl w:val="0"/>
            </w:pPr>
          </w:p>
        </w:tc>
        <w:tc>
          <w:tcPr>
            <w:tcW w:w="1417" w:type="dxa"/>
            <w:vMerge/>
            <w:shd w:val="clear" w:color="auto" w:fill="auto"/>
            <w:vAlign w:val="center"/>
          </w:tcPr>
          <w:p w:rsidR="005E5EBE" w:rsidRPr="00263CC0" w:rsidRDefault="005E5EBE">
            <w:pPr>
              <w:spacing w:line="300" w:lineRule="exact"/>
              <w:jc w:val="left"/>
              <w:outlineLvl w:val="0"/>
            </w:pPr>
          </w:p>
        </w:tc>
        <w:tc>
          <w:tcPr>
            <w:tcW w:w="737" w:type="dxa"/>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优</w:t>
            </w:r>
          </w:p>
        </w:tc>
        <w:tc>
          <w:tcPr>
            <w:tcW w:w="737" w:type="dxa"/>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良</w:t>
            </w:r>
          </w:p>
        </w:tc>
        <w:tc>
          <w:tcPr>
            <w:tcW w:w="737" w:type="dxa"/>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中</w:t>
            </w:r>
          </w:p>
        </w:tc>
        <w:tc>
          <w:tcPr>
            <w:tcW w:w="737" w:type="dxa"/>
            <w:shd w:val="clear" w:color="auto" w:fill="auto"/>
            <w:vAlign w:val="center"/>
          </w:tcPr>
          <w:p w:rsidR="005E5EBE" w:rsidRPr="00263CC0" w:rsidRDefault="00C55356">
            <w:pPr>
              <w:spacing w:line="300" w:lineRule="exact"/>
              <w:jc w:val="center"/>
              <w:rPr>
                <w:rFonts w:ascii="方正书宋_GBK" w:eastAsia="方正书宋_GBK"/>
                <w:b/>
              </w:rPr>
            </w:pPr>
            <w:r w:rsidRPr="00263CC0">
              <w:rPr>
                <w:rFonts w:ascii="方正书宋_GBK" w:eastAsia="方正书宋_GBK" w:hint="eastAsia"/>
                <w:b/>
              </w:rPr>
              <w:t>差</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反贪污贿赂局（反渎职侵权局）</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负责对辖区内职务犯罪案件的初查、立案侦查和移送起诉；负责职务犯罪预防工作；负责对刑罚执行活动的监督；执行传唤、拘传和协助执行其它强制措施，参与搜查、提押、看管犯罪嫌疑人、被告人、送达法律文书；负责本院接待群众来访场所的秩序和安全，参与处置突发事件。</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有效预防和依法严惩职务犯罪；积极开展打击职务犯罪活动；积极送达法律文书；认真做好群众来访场所的秩序和安全，参与处置突发事件</w:t>
            </w:r>
          </w:p>
        </w:tc>
        <w:tc>
          <w:tcPr>
            <w:tcW w:w="1417" w:type="dxa"/>
            <w:shd w:val="clear" w:color="auto" w:fill="auto"/>
            <w:vAlign w:val="center"/>
          </w:tcPr>
          <w:p w:rsidR="005E5EBE" w:rsidRPr="00263CC0" w:rsidRDefault="005E5EBE">
            <w:pPr>
              <w:spacing w:line="300" w:lineRule="exact"/>
              <w:jc w:val="left"/>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 xml:space="preserve">　　查办职务犯罪</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参与办理重大职务犯罪案件的侦查及个案协查工作；推进职务犯罪预防侦查工作信息化和装备现代化建设。</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完成指挥或办理职务犯罪案件工作，提高案件起诉率、判决率；完成追逃、追赃任务，最大限度挽回经济损失，促进国家工作人员依法行使职权</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有罪判决率</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立案查办职务犯罪案件有罪判决</w:t>
            </w:r>
            <w:r w:rsidRPr="00263CC0">
              <w:rPr>
                <w:rFonts w:ascii="方正书宋_GBK" w:eastAsia="方正书宋_GBK" w:hint="eastAsia"/>
              </w:rPr>
              <w:lastRenderedPageBreak/>
              <w:t>率达到</w:t>
            </w:r>
            <w:r w:rsidRPr="00263CC0">
              <w:rPr>
                <w:rFonts w:ascii="方正书宋_GBK" w:eastAsia="方正书宋_GBK"/>
              </w:rPr>
              <w:t>70%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立案查办职务犯罪案件有罪判决</w:t>
            </w:r>
            <w:r w:rsidRPr="00263CC0">
              <w:rPr>
                <w:rFonts w:ascii="方正书宋_GBK" w:eastAsia="方正书宋_GBK" w:hint="eastAsia"/>
              </w:rPr>
              <w:lastRenderedPageBreak/>
              <w:t>率达到</w:t>
            </w:r>
            <w:r w:rsidRPr="00263CC0">
              <w:rPr>
                <w:rFonts w:ascii="方正书宋_GBK" w:eastAsia="方正书宋_GBK"/>
              </w:rPr>
              <w:t>60%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立案查办职务犯罪案件有罪判决</w:t>
            </w:r>
            <w:r w:rsidRPr="00263CC0">
              <w:rPr>
                <w:rFonts w:ascii="方正书宋_GBK" w:eastAsia="方正书宋_GBK" w:hint="eastAsia"/>
              </w:rPr>
              <w:lastRenderedPageBreak/>
              <w:t>率达到</w:t>
            </w:r>
            <w:r w:rsidRPr="00263CC0">
              <w:rPr>
                <w:rFonts w:ascii="方正书宋_GBK" w:eastAsia="方正书宋_GBK"/>
              </w:rPr>
              <w:t>50%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立案查办职务犯罪案件有罪判决</w:t>
            </w:r>
            <w:r w:rsidRPr="00263CC0">
              <w:rPr>
                <w:rFonts w:ascii="方正书宋_GBK" w:eastAsia="方正书宋_GBK" w:hint="eastAsia"/>
              </w:rPr>
              <w:lastRenderedPageBreak/>
              <w:t>率达到</w:t>
            </w:r>
            <w:r w:rsidRPr="00263CC0">
              <w:rPr>
                <w:rFonts w:ascii="方正书宋_GBK" w:eastAsia="方正书宋_GBK"/>
              </w:rPr>
              <w:t>50%</w:t>
            </w:r>
            <w:r w:rsidRPr="00263CC0">
              <w:rPr>
                <w:rFonts w:ascii="方正书宋_GBK" w:eastAsia="方正书宋_GBK" w:hint="eastAsia"/>
              </w:rPr>
              <w:t>以</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lastRenderedPageBreak/>
              <w:t xml:space="preserve">　　预防职务犯罪</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采取多种方式，预防可能发生的职务犯罪。</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以个案预防、系统预防、专项预防、预防调查等多种形式努力从源头上遏制和减少职务犯罪。</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举办职务犯罪预防警示教育次数</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开展专项预防活动达到</w:t>
            </w:r>
            <w:r w:rsidRPr="00263CC0">
              <w:rPr>
                <w:rFonts w:ascii="方正书宋_GBK" w:eastAsia="方正书宋_GBK"/>
              </w:rPr>
              <w:t>5</w:t>
            </w:r>
            <w:r w:rsidRPr="00263CC0">
              <w:rPr>
                <w:rFonts w:ascii="方正书宋_GBK" w:eastAsia="方正书宋_GBK" w:hint="eastAsia"/>
              </w:rPr>
              <w:t>次</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开展专项预防活动达到</w:t>
            </w:r>
            <w:r w:rsidRPr="00263CC0">
              <w:rPr>
                <w:rFonts w:ascii="方正书宋_GBK" w:eastAsia="方正书宋_GBK"/>
              </w:rPr>
              <w:t>3</w:t>
            </w:r>
            <w:r w:rsidRPr="00263CC0">
              <w:rPr>
                <w:rFonts w:ascii="方正书宋_GBK" w:eastAsia="方正书宋_GBK" w:hint="eastAsia"/>
              </w:rPr>
              <w:t>次</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开展专项预防活动达到</w:t>
            </w:r>
            <w:r w:rsidRPr="00263CC0">
              <w:rPr>
                <w:rFonts w:ascii="方正书宋_GBK" w:eastAsia="方正书宋_GBK"/>
              </w:rPr>
              <w:t>1</w:t>
            </w:r>
            <w:r w:rsidRPr="00263CC0">
              <w:rPr>
                <w:rFonts w:ascii="方正书宋_GBK" w:eastAsia="方正书宋_GBK" w:hint="eastAsia"/>
              </w:rPr>
              <w:t>次</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开展专项预防活动达到</w:t>
            </w:r>
            <w:r w:rsidRPr="00263CC0">
              <w:rPr>
                <w:rFonts w:ascii="方正书宋_GBK" w:eastAsia="方正书宋_GBK"/>
              </w:rPr>
              <w:t>0</w:t>
            </w:r>
            <w:r w:rsidRPr="00263CC0">
              <w:rPr>
                <w:rFonts w:ascii="方正书宋_GBK" w:eastAsia="方正书宋_GBK" w:hint="eastAsia"/>
              </w:rPr>
              <w:t>次</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 xml:space="preserve">　　司法辅助</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保障本机关查办职务犯罪案件安全无事故；检察机关司法警察的管理和警衔晋升工作；传唤、拘传和协助执行其它强制措施，参与搜查、提押、看管犯罪嫌疑人、被告人、送达法律文书。</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加强各项检察辅助职能，为检察业务提供有力保障。</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参与自侦案件次数</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参与自侦案件次数达到</w:t>
            </w:r>
            <w:r w:rsidRPr="00263CC0">
              <w:rPr>
                <w:rFonts w:ascii="方正书宋_GBK" w:eastAsia="方正书宋_GBK"/>
              </w:rPr>
              <w:t>3</w:t>
            </w:r>
            <w:r w:rsidRPr="00263CC0">
              <w:rPr>
                <w:rFonts w:ascii="方正书宋_GBK" w:eastAsia="方正书宋_GBK" w:hint="eastAsia"/>
              </w:rPr>
              <w:t>次以上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参与自侦案件次数达到</w:t>
            </w:r>
            <w:r w:rsidRPr="00263CC0">
              <w:rPr>
                <w:rFonts w:ascii="方正书宋_GBK" w:eastAsia="方正书宋_GBK"/>
              </w:rPr>
              <w:t>2</w:t>
            </w:r>
            <w:r w:rsidRPr="00263CC0">
              <w:rPr>
                <w:rFonts w:ascii="方正书宋_GBK" w:eastAsia="方正书宋_GBK" w:hint="eastAsia"/>
              </w:rPr>
              <w:t>次以上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参与自侦案件次数达到</w:t>
            </w:r>
            <w:r w:rsidRPr="00263CC0">
              <w:rPr>
                <w:rFonts w:ascii="方正书宋_GBK" w:eastAsia="方正书宋_GBK"/>
              </w:rPr>
              <w:t>1</w:t>
            </w:r>
            <w:r w:rsidRPr="00263CC0">
              <w:rPr>
                <w:rFonts w:ascii="方正书宋_GBK" w:eastAsia="方正书宋_GBK" w:hint="eastAsia"/>
              </w:rPr>
              <w:t>次以上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参与自侦案件次数达到</w:t>
            </w:r>
            <w:r w:rsidRPr="00263CC0">
              <w:rPr>
                <w:rFonts w:ascii="方正书宋_GBK" w:eastAsia="方正书宋_GBK"/>
              </w:rPr>
              <w:t>0</w:t>
            </w:r>
            <w:r w:rsidRPr="00263CC0">
              <w:rPr>
                <w:rFonts w:ascii="方正书宋_GBK" w:eastAsia="方正书宋_GBK" w:hint="eastAsia"/>
              </w:rPr>
              <w:t>次以上</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综合办公室（纪检监察室、政治处）</w:t>
            </w:r>
          </w:p>
        </w:tc>
        <w:tc>
          <w:tcPr>
            <w:tcW w:w="12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rPr>
              <w:t>68.50</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负责文件起草、秘书事务、机要通信、会议组织、工作协调、督办催办、文件处理、档案管理、保密和外事等工作；负责本院计财装备、检察技术、法律政策研究工作；负责干部队伍管理、机关党的建设、新闻宣传、教育培训、纪检检察等</w:t>
            </w:r>
            <w:r w:rsidRPr="00263CC0">
              <w:rPr>
                <w:rFonts w:ascii="方正书宋_GBK" w:eastAsia="方正书宋_GBK" w:hint="eastAsia"/>
              </w:rPr>
              <w:lastRenderedPageBreak/>
              <w:t>工作。</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lastRenderedPageBreak/>
              <w:t>发挥保障、服务职能；积极推进各项综合工作；确保各项检察工作顺利开展。</w:t>
            </w:r>
          </w:p>
        </w:tc>
        <w:tc>
          <w:tcPr>
            <w:tcW w:w="1417" w:type="dxa"/>
            <w:shd w:val="clear" w:color="auto" w:fill="auto"/>
            <w:vAlign w:val="center"/>
          </w:tcPr>
          <w:p w:rsidR="005E5EBE" w:rsidRPr="00263CC0" w:rsidRDefault="005E5EBE">
            <w:pPr>
              <w:spacing w:line="300" w:lineRule="exact"/>
              <w:jc w:val="left"/>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lastRenderedPageBreak/>
              <w:t xml:space="preserve">　　综合业务管理</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确定本机关检察阶段性的工作重点和措施，部署检察工作任务；进行法律政策研究工作；统筹进行网络信息化建设；开展检察宣传工作、推进检务公开。</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围绕重点工作推进办案网络信息化建设及检务公开工作，畅通检务公开渠道。</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积极完成上级院部署的各项工作，大力推进网络化建设和检务公开工作。</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达到上级院的规定要求</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基本达到上级院的规定要求</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一般达到上级院的规定要求</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未能达到上级院的规定要求</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 xml:space="preserve">　　综合事务管理</w:t>
            </w:r>
          </w:p>
        </w:tc>
        <w:tc>
          <w:tcPr>
            <w:tcW w:w="12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rPr>
              <w:t>68.50</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组织指导本机关检察人员的教育培训工作，进行检察装备建设及维护；配备制式检察服装及法警服装；负责车辆管理和维护；进行基础设施建设和维护。加强队伍建设，认真做好人员职务的任免；负责本院计财装备；按照上级要求推进本院办公办案用房建设；推进两微一端一站建设</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为检察工作顺利开展提供检务保障。</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各项检务保障工作完成率</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能够为开展各项检察工作提供有力支撑。</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能够为开展各项检察工作提供较有力支撑。</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能够为开展各项检察工作提供基本有力支撑</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未能够为开展各项检察工作提供有力支撑。</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案件管理办公室</w:t>
            </w:r>
          </w:p>
        </w:tc>
        <w:tc>
          <w:tcPr>
            <w:tcW w:w="12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rPr>
              <w:t>93.20</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负责对受理案件的登记和归口分流；负责案件统计报表工作；对所办案件进行事前、事中、事后全程动态监督；负责举报、控告申诉和刑事赔偿工作；负责人民监督员办公室工作。</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对本机关受理案件进行全程动态监控，规范司法行为。</w:t>
            </w:r>
          </w:p>
        </w:tc>
        <w:tc>
          <w:tcPr>
            <w:tcW w:w="1417" w:type="dxa"/>
            <w:shd w:val="clear" w:color="auto" w:fill="auto"/>
            <w:vAlign w:val="center"/>
          </w:tcPr>
          <w:p w:rsidR="005E5EBE" w:rsidRPr="00263CC0" w:rsidRDefault="005E5EBE">
            <w:pPr>
              <w:spacing w:line="300" w:lineRule="exact"/>
              <w:jc w:val="left"/>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 xml:space="preserve">　　案件管理</w:t>
            </w:r>
          </w:p>
        </w:tc>
        <w:tc>
          <w:tcPr>
            <w:tcW w:w="12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rPr>
              <w:t>93.20</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进行案件质量保证体系建设；开展涉农检察工作；加强人民</w:t>
            </w:r>
            <w:r w:rsidRPr="00263CC0">
              <w:rPr>
                <w:rFonts w:ascii="方正书宋_GBK" w:eastAsia="方正书宋_GBK" w:hint="eastAsia"/>
              </w:rPr>
              <w:lastRenderedPageBreak/>
              <w:t>监督员和人大代表监督；统筹进行网络信息化建设。</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lastRenderedPageBreak/>
              <w:t>规范司法行为。</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受理案件全部由案管进</w:t>
            </w:r>
            <w:r w:rsidRPr="00263CC0">
              <w:rPr>
                <w:rFonts w:ascii="方正书宋_GBK" w:eastAsia="方正书宋_GBK" w:hint="eastAsia"/>
              </w:rPr>
              <w:lastRenderedPageBreak/>
              <w:t>行流转</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流转达到</w:t>
            </w:r>
            <w:r w:rsidRPr="00263CC0">
              <w:rPr>
                <w:rFonts w:ascii="方正书宋_GBK" w:eastAsia="方正书宋_GBK"/>
              </w:rPr>
              <w:lastRenderedPageBreak/>
              <w:t>100%</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流转达到</w:t>
            </w:r>
            <w:r w:rsidRPr="00263CC0">
              <w:rPr>
                <w:rFonts w:ascii="方正书宋_GBK" w:eastAsia="方正书宋_GBK"/>
              </w:rPr>
              <w:lastRenderedPageBreak/>
              <w:t>60%</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流转达到</w:t>
            </w:r>
            <w:r w:rsidRPr="00263CC0">
              <w:rPr>
                <w:rFonts w:ascii="方正书宋_GBK" w:eastAsia="方正书宋_GBK"/>
              </w:rPr>
              <w:lastRenderedPageBreak/>
              <w:t>50%</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流转达到</w:t>
            </w:r>
            <w:r w:rsidRPr="00263CC0">
              <w:rPr>
                <w:rFonts w:ascii="方正书宋_GBK" w:eastAsia="方正书宋_GBK"/>
              </w:rPr>
              <w:lastRenderedPageBreak/>
              <w:t>50%</w:t>
            </w:r>
            <w:r w:rsidRPr="00263CC0">
              <w:rPr>
                <w:rFonts w:ascii="方正书宋_GBK" w:eastAsia="方正书宋_GBK" w:hint="eastAsia"/>
              </w:rPr>
              <w:t>以下</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lastRenderedPageBreak/>
              <w:t xml:space="preserve">　　信访接待</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受理辖区内单位和个人的报案、控告、申诉、举报以及犯罪嫌疑人的自首；负责刑事赔偿工作。</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构建依法有序信访秩序，及时依法解决群众诉求，不断提高队伍素质和执法能力，推进信息公开。</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涉检信访案件办结率</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已按程序处理信访案件占全年受理信访案件比例为</w:t>
            </w:r>
            <w:r w:rsidRPr="00263CC0">
              <w:rPr>
                <w:rFonts w:ascii="方正书宋_GBK" w:eastAsia="方正书宋_GBK"/>
              </w:rPr>
              <w:t>70%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已按程序处理信访案件占全年受理信访案件比例为</w:t>
            </w:r>
            <w:r w:rsidRPr="00263CC0">
              <w:rPr>
                <w:rFonts w:ascii="方正书宋_GBK" w:eastAsia="方正书宋_GBK"/>
              </w:rPr>
              <w:t>60%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已按程序处理信访案件占全年受理信访案件比例为</w:t>
            </w:r>
            <w:r w:rsidRPr="00263CC0">
              <w:rPr>
                <w:rFonts w:ascii="方正书宋_GBK" w:eastAsia="方正书宋_GBK"/>
              </w:rPr>
              <w:t>50%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已按程序处理信访案件占全年受理信访案件比例为</w:t>
            </w:r>
            <w:r w:rsidRPr="00263CC0">
              <w:rPr>
                <w:rFonts w:ascii="方正书宋_GBK" w:eastAsia="方正书宋_GBK"/>
              </w:rPr>
              <w:t>50%</w:t>
            </w:r>
            <w:r w:rsidRPr="00263CC0">
              <w:rPr>
                <w:rFonts w:ascii="方正书宋_GBK" w:eastAsia="方正书宋_GBK" w:hint="eastAsia"/>
              </w:rPr>
              <w:t>以下</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刑事检察科</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负责辖区内刑事犯罪案件的审查逮捕、审查起诉、出庭公诉和社会管理工作；依法履行立案、侦查活动、监外执行、审判活动等监督职能；依法对民事、行政诉讼和审判活动进行法律监督。</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保护公民、法人和其他单位的合法权益，促进司法公正，维护社会稳定</w:t>
            </w:r>
          </w:p>
        </w:tc>
        <w:tc>
          <w:tcPr>
            <w:tcW w:w="1417" w:type="dxa"/>
            <w:shd w:val="clear" w:color="auto" w:fill="auto"/>
            <w:vAlign w:val="center"/>
          </w:tcPr>
          <w:p w:rsidR="005E5EBE" w:rsidRPr="00263CC0" w:rsidRDefault="005E5EBE">
            <w:pPr>
              <w:spacing w:line="300" w:lineRule="exact"/>
              <w:jc w:val="left"/>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c>
          <w:tcPr>
            <w:tcW w:w="737" w:type="dxa"/>
            <w:shd w:val="clear" w:color="auto" w:fill="auto"/>
            <w:vAlign w:val="center"/>
          </w:tcPr>
          <w:p w:rsidR="005E5EBE" w:rsidRPr="00263CC0" w:rsidRDefault="005E5EBE">
            <w:pPr>
              <w:spacing w:line="300" w:lineRule="exact"/>
              <w:jc w:val="center"/>
              <w:rPr>
                <w:rFonts w:ascii="方正书宋_GBK" w:eastAsia="方正书宋_GBK"/>
              </w:rPr>
            </w:pP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t xml:space="preserve">　　检察监督、公诉和审判监督</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检察监督职能的行使贯穿刑事立案到侦查终结全过程。主要包括审查逮捕、立案监督和侦</w:t>
            </w:r>
            <w:r w:rsidRPr="00263CC0">
              <w:rPr>
                <w:rFonts w:ascii="方正书宋_GBK" w:eastAsia="方正书宋_GBK" w:hint="eastAsia"/>
              </w:rPr>
              <w:lastRenderedPageBreak/>
              <w:t>查活动监督等职能。</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lastRenderedPageBreak/>
              <w:t>保障人权、维护司法公正，有效提高批捕、批准立案、批延准确率。全面审查案件事实，</w:t>
            </w:r>
            <w:r w:rsidRPr="00263CC0">
              <w:rPr>
                <w:rFonts w:ascii="方正书宋_GBK" w:eastAsia="方正书宋_GBK" w:hint="eastAsia"/>
              </w:rPr>
              <w:lastRenderedPageBreak/>
              <w:t>核实证据，依法提起公诉、出庭提出审查意见，提高公诉案件审结率、出庭意见采纳率。</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lastRenderedPageBreak/>
              <w:t>批捕准确率和有罪判决率</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批捕准确率和</w:t>
            </w:r>
            <w:r w:rsidRPr="00263CC0">
              <w:rPr>
                <w:rFonts w:ascii="方正书宋_GBK" w:eastAsia="方正书宋_GBK" w:hint="eastAsia"/>
              </w:rPr>
              <w:lastRenderedPageBreak/>
              <w:t>有罪判决率达到</w:t>
            </w:r>
            <w:r w:rsidRPr="00263CC0">
              <w:rPr>
                <w:rFonts w:ascii="方正书宋_GBK" w:eastAsia="方正书宋_GBK"/>
              </w:rPr>
              <w:t>95%</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批捕准确率和</w:t>
            </w:r>
            <w:r w:rsidRPr="00263CC0">
              <w:rPr>
                <w:rFonts w:ascii="方正书宋_GBK" w:eastAsia="方正书宋_GBK" w:hint="eastAsia"/>
              </w:rPr>
              <w:lastRenderedPageBreak/>
              <w:t>有罪判决率达到</w:t>
            </w:r>
            <w:r w:rsidRPr="00263CC0">
              <w:rPr>
                <w:rFonts w:ascii="方正书宋_GBK" w:eastAsia="方正书宋_GBK"/>
              </w:rPr>
              <w:t>70%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批捕准确率和</w:t>
            </w:r>
            <w:r w:rsidRPr="00263CC0">
              <w:rPr>
                <w:rFonts w:ascii="方正书宋_GBK" w:eastAsia="方正书宋_GBK" w:hint="eastAsia"/>
              </w:rPr>
              <w:lastRenderedPageBreak/>
              <w:t>有罪判决率达到</w:t>
            </w:r>
            <w:r w:rsidRPr="00263CC0">
              <w:rPr>
                <w:rFonts w:ascii="方正书宋_GBK" w:eastAsia="方正书宋_GBK"/>
              </w:rPr>
              <w:t>50%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lastRenderedPageBreak/>
              <w:t>批捕准确率和</w:t>
            </w:r>
            <w:r w:rsidRPr="00263CC0">
              <w:rPr>
                <w:rFonts w:ascii="方正书宋_GBK" w:eastAsia="方正书宋_GBK" w:hint="eastAsia"/>
              </w:rPr>
              <w:lastRenderedPageBreak/>
              <w:t>有罪判决率达到</w:t>
            </w:r>
            <w:r w:rsidRPr="00263CC0">
              <w:rPr>
                <w:rFonts w:ascii="方正书宋_GBK" w:eastAsia="方正书宋_GBK"/>
              </w:rPr>
              <w:t>50%</w:t>
            </w:r>
            <w:r w:rsidRPr="00263CC0">
              <w:rPr>
                <w:rFonts w:ascii="方正书宋_GBK" w:eastAsia="方正书宋_GBK" w:hint="eastAsia"/>
              </w:rPr>
              <w:t>以下</w:t>
            </w:r>
          </w:p>
        </w:tc>
      </w:tr>
      <w:tr w:rsidR="005E5EBE" w:rsidRPr="00263CC0">
        <w:trPr>
          <w:trHeight w:val="227"/>
          <w:jc w:val="center"/>
        </w:trPr>
        <w:tc>
          <w:tcPr>
            <w:tcW w:w="2341" w:type="dxa"/>
            <w:shd w:val="clear" w:color="auto" w:fill="auto"/>
            <w:vAlign w:val="center"/>
          </w:tcPr>
          <w:p w:rsidR="005E5EBE" w:rsidRPr="00263CC0" w:rsidRDefault="00C55356">
            <w:pPr>
              <w:spacing w:line="300" w:lineRule="exact"/>
              <w:jc w:val="left"/>
              <w:rPr>
                <w:rFonts w:ascii="方正书宋_GBK" w:eastAsia="方正书宋_GBK"/>
                <w:b/>
              </w:rPr>
            </w:pPr>
            <w:r w:rsidRPr="00263CC0">
              <w:rPr>
                <w:rFonts w:ascii="方正书宋_GBK" w:eastAsia="方正书宋_GBK" w:hint="eastAsia"/>
                <w:b/>
              </w:rPr>
              <w:lastRenderedPageBreak/>
              <w:t xml:space="preserve">　　民事行政监督</w:t>
            </w:r>
          </w:p>
        </w:tc>
        <w:tc>
          <w:tcPr>
            <w:tcW w:w="1276" w:type="dxa"/>
            <w:shd w:val="clear" w:color="auto" w:fill="auto"/>
            <w:vAlign w:val="center"/>
          </w:tcPr>
          <w:p w:rsidR="005E5EBE" w:rsidRPr="00263CC0" w:rsidRDefault="005E5EBE">
            <w:pPr>
              <w:spacing w:line="300" w:lineRule="exact"/>
              <w:jc w:val="left"/>
              <w:rPr>
                <w:rFonts w:ascii="方正书宋_GBK" w:eastAsia="方正书宋_GBK"/>
              </w:rPr>
            </w:pP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依法对民事诉讼和行政诉讼实行法律监督，维护司法公正和司法权威，保障国家法律的统一正确实施</w:t>
            </w:r>
          </w:p>
        </w:tc>
        <w:tc>
          <w:tcPr>
            <w:tcW w:w="2976"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有效实施民事案件审判监督，维护司法公正和司法权威，保障国家法律的统一正确实施。</w:t>
            </w:r>
          </w:p>
        </w:tc>
        <w:tc>
          <w:tcPr>
            <w:tcW w:w="1417" w:type="dxa"/>
            <w:shd w:val="clear" w:color="auto" w:fill="auto"/>
            <w:vAlign w:val="center"/>
          </w:tcPr>
          <w:p w:rsidR="005E5EBE" w:rsidRPr="00263CC0" w:rsidRDefault="00C55356">
            <w:pPr>
              <w:spacing w:line="300" w:lineRule="exact"/>
              <w:jc w:val="left"/>
              <w:rPr>
                <w:rFonts w:ascii="方正书宋_GBK" w:eastAsia="方正书宋_GBK"/>
              </w:rPr>
            </w:pPr>
            <w:r w:rsidRPr="00263CC0">
              <w:rPr>
                <w:rFonts w:ascii="方正书宋_GBK" w:eastAsia="方正书宋_GBK" w:hint="eastAsia"/>
              </w:rPr>
              <w:t>民事申诉案件上级采纳率及检察建议采纳率</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民事申诉案件上级采纳率及检察建议采纳率均达到</w:t>
            </w:r>
            <w:r w:rsidRPr="00263CC0">
              <w:rPr>
                <w:rFonts w:ascii="方正书宋_GBK" w:eastAsia="方正书宋_GBK"/>
              </w:rPr>
              <w:t>70%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民事申诉案件上级采纳率及检察建议采纳率均达到</w:t>
            </w:r>
            <w:r w:rsidRPr="00263CC0">
              <w:rPr>
                <w:rFonts w:ascii="方正书宋_GBK" w:eastAsia="方正书宋_GBK"/>
              </w:rPr>
              <w:t>60%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民事申诉案件上级采纳率及检察建议采纳率均达到</w:t>
            </w:r>
            <w:r w:rsidRPr="00263CC0">
              <w:rPr>
                <w:rFonts w:ascii="方正书宋_GBK" w:eastAsia="方正书宋_GBK"/>
              </w:rPr>
              <w:t>50%</w:t>
            </w:r>
            <w:r w:rsidRPr="00263CC0">
              <w:rPr>
                <w:rFonts w:ascii="方正书宋_GBK" w:eastAsia="方正书宋_GBK" w:hint="eastAsia"/>
              </w:rPr>
              <w:t>以上</w:t>
            </w:r>
          </w:p>
        </w:tc>
        <w:tc>
          <w:tcPr>
            <w:tcW w:w="737" w:type="dxa"/>
            <w:shd w:val="clear" w:color="auto" w:fill="auto"/>
            <w:vAlign w:val="center"/>
          </w:tcPr>
          <w:p w:rsidR="005E5EBE" w:rsidRPr="00263CC0" w:rsidRDefault="00C55356">
            <w:pPr>
              <w:spacing w:line="300" w:lineRule="exact"/>
              <w:jc w:val="center"/>
              <w:rPr>
                <w:rFonts w:ascii="方正书宋_GBK" w:eastAsia="方正书宋_GBK"/>
              </w:rPr>
            </w:pPr>
            <w:r w:rsidRPr="00263CC0">
              <w:rPr>
                <w:rFonts w:ascii="方正书宋_GBK" w:eastAsia="方正书宋_GBK" w:hint="eastAsia"/>
              </w:rPr>
              <w:t>民事申诉案件上级采纳率及检察建议采纳率均达到</w:t>
            </w:r>
            <w:r w:rsidRPr="00263CC0">
              <w:rPr>
                <w:rFonts w:ascii="方正书宋_GBK" w:eastAsia="方正书宋_GBK"/>
              </w:rPr>
              <w:t>50%</w:t>
            </w:r>
            <w:r w:rsidRPr="00263CC0">
              <w:rPr>
                <w:rFonts w:ascii="方正书宋_GBK" w:eastAsia="方正书宋_GBK" w:hint="eastAsia"/>
              </w:rPr>
              <w:t>以下</w:t>
            </w:r>
          </w:p>
        </w:tc>
      </w:tr>
    </w:tbl>
    <w:p w:rsidR="005E5EBE" w:rsidRPr="00263CC0" w:rsidRDefault="005E5EBE" w:rsidP="00263CC0">
      <w:pPr>
        <w:ind w:firstLineChars="200" w:firstLine="643"/>
        <w:jc w:val="left"/>
        <w:rPr>
          <w:rFonts w:ascii="方正仿宋简体" w:eastAsia="方正仿宋简体" w:hAnsi="Times New Roman" w:cs="Times New Roman"/>
          <w:b/>
          <w:sz w:val="32"/>
          <w:szCs w:val="32"/>
        </w:rPr>
      </w:pPr>
    </w:p>
    <w:p w:rsidR="005E5EBE" w:rsidRPr="00263CC0" w:rsidRDefault="005E5EBE" w:rsidP="00263CC0">
      <w:pPr>
        <w:ind w:firstLineChars="200" w:firstLine="643"/>
        <w:jc w:val="left"/>
        <w:rPr>
          <w:rFonts w:ascii="方正仿宋简体" w:eastAsia="方正仿宋简体" w:hAnsi="Times New Roman" w:cs="Times New Roman"/>
          <w:b/>
          <w:sz w:val="32"/>
          <w:szCs w:val="32"/>
        </w:rPr>
      </w:pPr>
    </w:p>
    <w:p w:rsidR="005E5EBE" w:rsidRPr="00263CC0" w:rsidRDefault="005E5EBE" w:rsidP="00263CC0">
      <w:pPr>
        <w:ind w:firstLineChars="200" w:firstLine="643"/>
        <w:jc w:val="left"/>
        <w:rPr>
          <w:rFonts w:ascii="方正仿宋简体" w:eastAsia="方正仿宋简体" w:hAnsi="Times New Roman" w:cs="Times New Roman"/>
          <w:b/>
          <w:sz w:val="32"/>
          <w:szCs w:val="32"/>
        </w:rPr>
      </w:pPr>
    </w:p>
    <w:bookmarkEnd w:id="1"/>
    <w:p w:rsidR="005E5EBE" w:rsidRPr="00263CC0" w:rsidRDefault="005E5EBE">
      <w:pPr>
        <w:autoSpaceDE w:val="0"/>
        <w:autoSpaceDN w:val="0"/>
        <w:adjustRightInd w:val="0"/>
        <w:jc w:val="left"/>
        <w:rPr>
          <w:rFonts w:ascii="宋体" w:cs="宋体"/>
          <w:kern w:val="0"/>
          <w:sz w:val="18"/>
          <w:szCs w:val="18"/>
          <w:lang w:val="zh-CN"/>
        </w:rPr>
      </w:pPr>
    </w:p>
    <w:p w:rsidR="005E5EBE" w:rsidRPr="00263CC0" w:rsidRDefault="00C55356">
      <w:pPr>
        <w:ind w:firstLine="640"/>
        <w:rPr>
          <w:rFonts w:ascii="Times New Roman" w:eastAsia="方正仿宋_GBK" w:hAnsi="Times New Roman" w:cs="Times New Roman"/>
          <w:sz w:val="32"/>
          <w:szCs w:val="24"/>
        </w:rPr>
      </w:pPr>
      <w:r w:rsidRPr="00263CC0">
        <w:rPr>
          <w:rFonts w:ascii="黑体" w:eastAsia="黑体" w:hAnsi="黑体" w:cs="Times New Roman" w:hint="eastAsia"/>
          <w:sz w:val="32"/>
          <w:szCs w:val="32"/>
        </w:rPr>
        <w:t>六、政府采购预算情况</w:t>
      </w:r>
    </w:p>
    <w:p w:rsidR="005E5EBE" w:rsidRPr="00263CC0" w:rsidRDefault="00C55356">
      <w:pPr>
        <w:ind w:firstLine="640"/>
        <w:rPr>
          <w:rFonts w:ascii="方正仿宋简体" w:eastAsia="方正仿宋简体" w:hAnsi="黑体" w:cs="Times New Roman"/>
          <w:sz w:val="32"/>
          <w:szCs w:val="32"/>
        </w:rPr>
      </w:pPr>
      <w:r w:rsidRPr="00263CC0">
        <w:rPr>
          <w:rFonts w:ascii="方正仿宋简体" w:eastAsia="方正仿宋简体" w:hAnsi="Times New Roman" w:cs="Times New Roman" w:hint="eastAsia"/>
          <w:sz w:val="32"/>
          <w:szCs w:val="24"/>
        </w:rPr>
        <w:t>本部门无政府采购预算。</w:t>
      </w:r>
    </w:p>
    <w:p w:rsidR="005E5EBE" w:rsidRPr="00263CC0" w:rsidRDefault="00C55356">
      <w:pPr>
        <w:ind w:firstLine="640"/>
        <w:rPr>
          <w:rFonts w:ascii="黑体" w:eastAsia="黑体" w:hAnsi="黑体" w:cs="Times New Roman"/>
          <w:sz w:val="32"/>
          <w:szCs w:val="32"/>
        </w:rPr>
      </w:pPr>
      <w:r w:rsidRPr="00263CC0">
        <w:rPr>
          <w:rFonts w:ascii="黑体" w:eastAsia="黑体" w:hAnsi="黑体" w:cs="Times New Roman" w:hint="eastAsia"/>
          <w:sz w:val="32"/>
          <w:szCs w:val="32"/>
        </w:rPr>
        <w:t>七、国有资产信息</w:t>
      </w:r>
    </w:p>
    <w:p w:rsidR="005E5EBE" w:rsidRPr="00263CC0" w:rsidRDefault="00C55356">
      <w:pPr>
        <w:ind w:firstLine="640"/>
        <w:rPr>
          <w:rFonts w:ascii="方正仿宋简体" w:eastAsia="方正仿宋简体" w:hAnsi="Times New Roman" w:cs="Times New Roman"/>
          <w:sz w:val="32"/>
          <w:szCs w:val="24"/>
        </w:rPr>
      </w:pPr>
      <w:r w:rsidRPr="00263CC0">
        <w:rPr>
          <w:rFonts w:ascii="方正仿宋简体" w:eastAsia="方正仿宋简体" w:hAnsi="Times New Roman" w:cs="Times New Roman" w:hint="eastAsia"/>
          <w:sz w:val="32"/>
          <w:szCs w:val="24"/>
        </w:rPr>
        <w:t>上年末固定资产金额为</w:t>
      </w:r>
      <w:r w:rsidRPr="00263CC0">
        <w:rPr>
          <w:rFonts w:ascii="方正仿宋简体" w:eastAsia="方正仿宋简体" w:hAnsi="Times New Roman" w:cs="Times New Roman" w:hint="eastAsia"/>
          <w:sz w:val="32"/>
          <w:szCs w:val="32"/>
        </w:rPr>
        <w:t>261.24</w:t>
      </w:r>
      <w:r w:rsidRPr="00263CC0">
        <w:rPr>
          <w:rFonts w:ascii="方正仿宋简体" w:eastAsia="方正仿宋简体" w:hAnsi="Times New Roman" w:cs="Times New Roman" w:hint="eastAsia"/>
          <w:sz w:val="32"/>
          <w:szCs w:val="24"/>
        </w:rPr>
        <w:t>万元（详见下表），本年度各单位拟购置固定资产主要为计算机、一体机、空调、打印机、投影仪等，共计</w:t>
      </w:r>
      <w:r w:rsidRPr="00263CC0">
        <w:rPr>
          <w:rFonts w:ascii="方正仿宋简体" w:eastAsia="方正仿宋简体" w:hAnsi="Times New Roman" w:cs="Times New Roman" w:hint="eastAsia"/>
          <w:sz w:val="32"/>
          <w:szCs w:val="32"/>
        </w:rPr>
        <w:t>5</w:t>
      </w:r>
      <w:r w:rsidRPr="00263CC0">
        <w:rPr>
          <w:rFonts w:ascii="方正仿宋简体" w:eastAsia="方正仿宋简体" w:hAnsi="Times New Roman" w:cs="Times New Roman" w:hint="eastAsia"/>
          <w:sz w:val="32"/>
          <w:szCs w:val="24"/>
        </w:rPr>
        <w:t>万元，均是20万元以下的设备。</w:t>
      </w:r>
    </w:p>
    <w:p w:rsidR="005E5EBE" w:rsidRPr="00263CC0" w:rsidRDefault="005E5EBE">
      <w:pPr>
        <w:ind w:firstLine="640"/>
        <w:rPr>
          <w:rFonts w:ascii="仿宋_GB2312" w:eastAsia="仿宋_GB2312" w:hAnsi="黑体" w:cs="Times New Roman"/>
          <w:sz w:val="32"/>
          <w:szCs w:val="32"/>
        </w:rPr>
      </w:pPr>
    </w:p>
    <w:tbl>
      <w:tblPr>
        <w:tblW w:w="13482" w:type="dxa"/>
        <w:tblInd w:w="93" w:type="dxa"/>
        <w:tblLayout w:type="fixed"/>
        <w:tblLook w:val="04A0"/>
      </w:tblPr>
      <w:tblGrid>
        <w:gridCol w:w="5224"/>
        <w:gridCol w:w="3155"/>
        <w:gridCol w:w="5103"/>
      </w:tblGrid>
      <w:tr w:rsidR="005E5EBE" w:rsidRPr="00263CC0">
        <w:trPr>
          <w:trHeight w:val="705"/>
        </w:trPr>
        <w:tc>
          <w:tcPr>
            <w:tcW w:w="13482" w:type="dxa"/>
            <w:gridSpan w:val="3"/>
            <w:tcBorders>
              <w:top w:val="nil"/>
              <w:left w:val="nil"/>
              <w:bottom w:val="nil"/>
              <w:right w:val="nil"/>
            </w:tcBorders>
            <w:vAlign w:val="center"/>
          </w:tcPr>
          <w:p w:rsidR="005E5EBE" w:rsidRPr="00263CC0" w:rsidRDefault="00C55356">
            <w:pPr>
              <w:widowControl/>
              <w:jc w:val="center"/>
              <w:rPr>
                <w:rFonts w:ascii="宋体" w:hAnsi="宋体" w:cs="宋体"/>
                <w:b/>
                <w:bCs/>
                <w:kern w:val="0"/>
                <w:sz w:val="32"/>
                <w:szCs w:val="32"/>
              </w:rPr>
            </w:pPr>
            <w:r w:rsidRPr="00263CC0">
              <w:rPr>
                <w:rFonts w:ascii="宋体" w:hAnsi="宋体" w:cs="宋体" w:hint="eastAsia"/>
                <w:b/>
                <w:bCs/>
                <w:kern w:val="0"/>
                <w:sz w:val="32"/>
                <w:szCs w:val="32"/>
              </w:rPr>
              <w:t>河北省省直部门固定资产占用情况表</w:t>
            </w:r>
          </w:p>
        </w:tc>
      </w:tr>
      <w:tr w:rsidR="005E5EBE" w:rsidRPr="00263CC0">
        <w:trPr>
          <w:trHeight w:val="510"/>
        </w:trPr>
        <w:tc>
          <w:tcPr>
            <w:tcW w:w="8379" w:type="dxa"/>
            <w:gridSpan w:val="2"/>
            <w:tcBorders>
              <w:top w:val="nil"/>
              <w:left w:val="nil"/>
              <w:bottom w:val="nil"/>
              <w:right w:val="nil"/>
            </w:tcBorders>
            <w:vAlign w:val="center"/>
          </w:tcPr>
          <w:p w:rsidR="005E5EBE" w:rsidRPr="00263CC0" w:rsidRDefault="00C55356">
            <w:pPr>
              <w:widowControl/>
              <w:jc w:val="left"/>
              <w:rPr>
                <w:rFonts w:ascii="宋体" w:hAnsi="宋体" w:cs="宋体"/>
                <w:kern w:val="0"/>
                <w:sz w:val="22"/>
              </w:rPr>
            </w:pPr>
            <w:r w:rsidRPr="00263CC0">
              <w:rPr>
                <w:rFonts w:ascii="宋体" w:hAnsi="宋体" w:cs="宋体" w:hint="eastAsia"/>
                <w:kern w:val="0"/>
                <w:sz w:val="22"/>
              </w:rPr>
              <w:t>编制部门：</w:t>
            </w:r>
            <w:r w:rsidR="004537DD">
              <w:rPr>
                <w:rFonts w:ascii="宋体" w:hAnsi="宋体" w:cs="宋体" w:hint="eastAsia"/>
                <w:kern w:val="0"/>
                <w:sz w:val="22"/>
              </w:rPr>
              <w:t>秦皇岛北戴河新区人民检察院</w:t>
            </w:r>
          </w:p>
        </w:tc>
        <w:tc>
          <w:tcPr>
            <w:tcW w:w="5103" w:type="dxa"/>
            <w:tcBorders>
              <w:top w:val="nil"/>
              <w:left w:val="nil"/>
              <w:bottom w:val="nil"/>
              <w:right w:val="nil"/>
            </w:tcBorders>
            <w:vAlign w:val="center"/>
          </w:tcPr>
          <w:p w:rsidR="005E5EBE" w:rsidRPr="00263CC0" w:rsidRDefault="00C55356">
            <w:pPr>
              <w:widowControl/>
              <w:jc w:val="left"/>
              <w:rPr>
                <w:rFonts w:ascii="宋体" w:hAnsi="宋体" w:cs="宋体"/>
                <w:kern w:val="0"/>
                <w:sz w:val="22"/>
              </w:rPr>
            </w:pPr>
            <w:r w:rsidRPr="00263CC0">
              <w:rPr>
                <w:rFonts w:ascii="宋体" w:hAnsi="宋体" w:cs="宋体" w:hint="eastAsia"/>
                <w:kern w:val="0"/>
                <w:sz w:val="22"/>
              </w:rPr>
              <w:t xml:space="preserve">截止时间：2017年12月31日  </w:t>
            </w:r>
          </w:p>
        </w:tc>
      </w:tr>
      <w:tr w:rsidR="005E5EBE" w:rsidRPr="00263CC0">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5E5EBE" w:rsidRPr="00263CC0" w:rsidRDefault="00C55356">
            <w:pPr>
              <w:widowControl/>
              <w:jc w:val="center"/>
              <w:rPr>
                <w:rFonts w:ascii="宋体" w:hAnsi="宋体" w:cs="宋体"/>
                <w:b/>
                <w:bCs/>
                <w:kern w:val="0"/>
                <w:sz w:val="22"/>
              </w:rPr>
            </w:pPr>
            <w:r w:rsidRPr="00263CC0">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5E5EBE" w:rsidRPr="00263CC0" w:rsidRDefault="00C55356">
            <w:pPr>
              <w:widowControl/>
              <w:jc w:val="center"/>
              <w:rPr>
                <w:rFonts w:ascii="宋体" w:hAnsi="宋体" w:cs="宋体"/>
                <w:b/>
                <w:bCs/>
                <w:kern w:val="0"/>
                <w:sz w:val="22"/>
              </w:rPr>
            </w:pPr>
            <w:r w:rsidRPr="00263CC0">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5E5EBE" w:rsidRPr="00263CC0" w:rsidRDefault="00C55356">
            <w:pPr>
              <w:widowControl/>
              <w:jc w:val="center"/>
              <w:rPr>
                <w:rFonts w:ascii="宋体" w:hAnsi="宋体" w:cs="宋体"/>
                <w:b/>
                <w:bCs/>
                <w:kern w:val="0"/>
                <w:sz w:val="22"/>
              </w:rPr>
            </w:pPr>
            <w:r w:rsidRPr="00263CC0">
              <w:rPr>
                <w:rFonts w:ascii="宋体" w:hAnsi="宋体" w:cs="宋体" w:hint="eastAsia"/>
                <w:b/>
                <w:bCs/>
                <w:kern w:val="0"/>
                <w:sz w:val="22"/>
              </w:rPr>
              <w:t>价值（金额单位：万元）</w:t>
            </w:r>
          </w:p>
        </w:tc>
      </w:tr>
      <w:tr w:rsidR="005E5EBE" w:rsidRPr="00263CC0">
        <w:trPr>
          <w:trHeight w:val="645"/>
        </w:trPr>
        <w:tc>
          <w:tcPr>
            <w:tcW w:w="5224" w:type="dxa"/>
            <w:tcBorders>
              <w:top w:val="nil"/>
              <w:left w:val="single" w:sz="4" w:space="0" w:color="auto"/>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261.24</w:t>
            </w:r>
          </w:p>
        </w:tc>
      </w:tr>
      <w:tr w:rsidR="005E5EBE" w:rsidRPr="00263CC0">
        <w:trPr>
          <w:trHeight w:val="645"/>
        </w:trPr>
        <w:tc>
          <w:tcPr>
            <w:tcW w:w="5224" w:type="dxa"/>
            <w:tcBorders>
              <w:top w:val="nil"/>
              <w:left w:val="single" w:sz="4" w:space="0" w:color="auto"/>
              <w:bottom w:val="single" w:sz="4" w:space="0" w:color="auto"/>
              <w:right w:val="single" w:sz="4" w:space="0" w:color="auto"/>
            </w:tcBorders>
            <w:vAlign w:val="center"/>
          </w:tcPr>
          <w:p w:rsidR="005E5EBE" w:rsidRPr="00263CC0" w:rsidRDefault="00C55356">
            <w:pPr>
              <w:widowControl/>
              <w:jc w:val="left"/>
              <w:rPr>
                <w:rFonts w:ascii="宋体" w:hAnsi="宋体" w:cs="宋体"/>
                <w:kern w:val="0"/>
                <w:sz w:val="22"/>
              </w:rPr>
            </w:pPr>
            <w:r w:rsidRPr="00263CC0">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0</w:t>
            </w:r>
          </w:p>
        </w:tc>
        <w:tc>
          <w:tcPr>
            <w:tcW w:w="5103"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0</w:t>
            </w:r>
          </w:p>
        </w:tc>
      </w:tr>
      <w:tr w:rsidR="005E5EBE" w:rsidRPr="00263CC0">
        <w:trPr>
          <w:trHeight w:val="645"/>
        </w:trPr>
        <w:tc>
          <w:tcPr>
            <w:tcW w:w="5224" w:type="dxa"/>
            <w:tcBorders>
              <w:top w:val="nil"/>
              <w:left w:val="single" w:sz="4" w:space="0" w:color="auto"/>
              <w:bottom w:val="single" w:sz="4" w:space="0" w:color="auto"/>
              <w:right w:val="single" w:sz="4" w:space="0" w:color="auto"/>
            </w:tcBorders>
            <w:vAlign w:val="center"/>
          </w:tcPr>
          <w:p w:rsidR="005E5EBE" w:rsidRPr="00263CC0" w:rsidRDefault="00C55356">
            <w:pPr>
              <w:widowControl/>
              <w:jc w:val="left"/>
              <w:rPr>
                <w:rFonts w:ascii="宋体" w:hAnsi="宋体" w:cs="宋体"/>
                <w:kern w:val="0"/>
                <w:sz w:val="22"/>
              </w:rPr>
            </w:pPr>
            <w:r w:rsidRPr="00263CC0">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0</w:t>
            </w:r>
          </w:p>
        </w:tc>
        <w:tc>
          <w:tcPr>
            <w:tcW w:w="5103"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0</w:t>
            </w:r>
          </w:p>
        </w:tc>
      </w:tr>
      <w:tr w:rsidR="005E5EBE" w:rsidRPr="00263CC0">
        <w:trPr>
          <w:trHeight w:val="645"/>
        </w:trPr>
        <w:tc>
          <w:tcPr>
            <w:tcW w:w="5224" w:type="dxa"/>
            <w:tcBorders>
              <w:top w:val="nil"/>
              <w:left w:val="single" w:sz="4" w:space="0" w:color="auto"/>
              <w:bottom w:val="single" w:sz="4" w:space="0" w:color="auto"/>
              <w:right w:val="single" w:sz="4" w:space="0" w:color="auto"/>
            </w:tcBorders>
            <w:vAlign w:val="center"/>
          </w:tcPr>
          <w:p w:rsidR="005E5EBE" w:rsidRPr="00263CC0" w:rsidRDefault="00C55356">
            <w:pPr>
              <w:widowControl/>
              <w:jc w:val="left"/>
              <w:rPr>
                <w:rFonts w:ascii="宋体" w:hAnsi="宋体" w:cs="宋体"/>
                <w:kern w:val="0"/>
                <w:sz w:val="22"/>
              </w:rPr>
            </w:pPr>
            <w:r w:rsidRPr="00263CC0">
              <w:rPr>
                <w:rFonts w:ascii="宋体" w:hAnsi="宋体" w:cs="宋体" w:hint="eastAsia"/>
                <w:kern w:val="0"/>
                <w:sz w:val="22"/>
              </w:rPr>
              <w:lastRenderedPageBreak/>
              <w:t>2、车辆（台、辆）</w:t>
            </w:r>
          </w:p>
        </w:tc>
        <w:tc>
          <w:tcPr>
            <w:tcW w:w="3155"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7</w:t>
            </w:r>
          </w:p>
        </w:tc>
        <w:tc>
          <w:tcPr>
            <w:tcW w:w="5103"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65.32</w:t>
            </w:r>
          </w:p>
        </w:tc>
      </w:tr>
      <w:tr w:rsidR="005E5EBE" w:rsidRPr="00263CC0">
        <w:trPr>
          <w:trHeight w:val="645"/>
        </w:trPr>
        <w:tc>
          <w:tcPr>
            <w:tcW w:w="5224" w:type="dxa"/>
            <w:tcBorders>
              <w:top w:val="nil"/>
              <w:left w:val="single" w:sz="4" w:space="0" w:color="auto"/>
              <w:bottom w:val="single" w:sz="4" w:space="0" w:color="auto"/>
              <w:right w:val="single" w:sz="4" w:space="0" w:color="auto"/>
            </w:tcBorders>
            <w:vAlign w:val="center"/>
          </w:tcPr>
          <w:p w:rsidR="005E5EBE" w:rsidRPr="00263CC0" w:rsidRDefault="00C55356">
            <w:pPr>
              <w:widowControl/>
              <w:jc w:val="left"/>
              <w:rPr>
                <w:rFonts w:ascii="宋体" w:hAnsi="宋体" w:cs="宋体"/>
                <w:kern w:val="0"/>
                <w:sz w:val="22"/>
              </w:rPr>
            </w:pPr>
            <w:r w:rsidRPr="00263CC0">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0</w:t>
            </w:r>
          </w:p>
        </w:tc>
      </w:tr>
      <w:tr w:rsidR="005E5EBE" w:rsidRPr="00263CC0">
        <w:trPr>
          <w:trHeight w:val="645"/>
        </w:trPr>
        <w:tc>
          <w:tcPr>
            <w:tcW w:w="5224" w:type="dxa"/>
            <w:tcBorders>
              <w:top w:val="nil"/>
              <w:left w:val="single" w:sz="4" w:space="0" w:color="auto"/>
              <w:bottom w:val="single" w:sz="4" w:space="0" w:color="auto"/>
              <w:right w:val="single" w:sz="4" w:space="0" w:color="auto"/>
            </w:tcBorders>
            <w:vAlign w:val="center"/>
          </w:tcPr>
          <w:p w:rsidR="005E5EBE" w:rsidRPr="00263CC0" w:rsidRDefault="00C55356">
            <w:pPr>
              <w:widowControl/>
              <w:jc w:val="left"/>
              <w:rPr>
                <w:rFonts w:ascii="宋体" w:hAnsi="宋体" w:cs="宋体"/>
                <w:kern w:val="0"/>
                <w:sz w:val="22"/>
              </w:rPr>
            </w:pPr>
            <w:r w:rsidRPr="00263CC0">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5E5EBE" w:rsidRPr="00263CC0" w:rsidRDefault="00C55356">
            <w:pPr>
              <w:widowControl/>
              <w:jc w:val="center"/>
              <w:rPr>
                <w:rFonts w:ascii="宋体" w:hAnsi="宋体" w:cs="宋体"/>
                <w:kern w:val="0"/>
                <w:sz w:val="22"/>
              </w:rPr>
            </w:pPr>
            <w:r w:rsidRPr="00263CC0">
              <w:rPr>
                <w:rFonts w:ascii="宋体" w:hAnsi="宋体" w:cs="宋体" w:hint="eastAsia"/>
                <w:kern w:val="0"/>
                <w:sz w:val="22"/>
              </w:rPr>
              <w:t>195.92</w:t>
            </w:r>
          </w:p>
        </w:tc>
      </w:tr>
    </w:tbl>
    <w:p w:rsidR="005E5EBE" w:rsidRPr="00263CC0" w:rsidRDefault="00C55356">
      <w:pPr>
        <w:ind w:firstLine="640"/>
        <w:rPr>
          <w:rFonts w:ascii="黑体" w:eastAsia="黑体" w:hAnsi="黑体" w:cs="Times New Roman"/>
          <w:sz w:val="32"/>
          <w:szCs w:val="32"/>
        </w:rPr>
      </w:pPr>
      <w:r w:rsidRPr="00263CC0">
        <w:rPr>
          <w:rFonts w:ascii="黑体" w:eastAsia="黑体" w:hAnsi="黑体" w:cs="Times New Roman" w:hint="eastAsia"/>
          <w:sz w:val="32"/>
          <w:szCs w:val="32"/>
        </w:rPr>
        <w:t>八、名词解释</w:t>
      </w:r>
    </w:p>
    <w:p w:rsidR="005E5EBE" w:rsidRPr="00263CC0" w:rsidRDefault="00C55356">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263CC0">
        <w:rPr>
          <w:rFonts w:ascii="方正仿宋简体" w:eastAsia="方正仿宋简体" w:hAnsi="Times New Roman" w:cs="Times New Roman" w:hint="eastAsia"/>
          <w:sz w:val="32"/>
          <w:szCs w:val="24"/>
        </w:rPr>
        <w:t>1、一般预算收入：指区级财政当年拨付的资金。</w:t>
      </w:r>
    </w:p>
    <w:p w:rsidR="005E5EBE" w:rsidRPr="00263CC0" w:rsidRDefault="00C55356">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263CC0">
        <w:rPr>
          <w:rFonts w:ascii="方正仿宋简体" w:eastAsia="方正仿宋简体" w:hAnsi="Times New Roman" w:cs="Times New Roman" w:hint="eastAsia"/>
          <w:sz w:val="32"/>
          <w:szCs w:val="24"/>
        </w:rPr>
        <w:t>2、基本支出：指为保障机构正常运转、完成日常工作任务而发生的人员支出和公用支出。</w:t>
      </w:r>
    </w:p>
    <w:p w:rsidR="005E5EBE" w:rsidRPr="00263CC0" w:rsidRDefault="00C55356">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263CC0">
        <w:rPr>
          <w:rFonts w:ascii="方正仿宋简体" w:eastAsia="方正仿宋简体" w:hAnsi="Times New Roman" w:cs="Times New Roman" w:hint="eastAsia"/>
          <w:sz w:val="32"/>
          <w:szCs w:val="24"/>
        </w:rPr>
        <w:t>3、项目支出：指在基本支出之外为完成特定行政任务和事业发展目标所发生的支出。</w:t>
      </w:r>
    </w:p>
    <w:p w:rsidR="005E5EBE" w:rsidRPr="00263CC0" w:rsidRDefault="00C55356">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263CC0">
        <w:rPr>
          <w:rFonts w:ascii="方正仿宋简体" w:eastAsia="方正仿宋简体" w:hAnsi="Times New Roman" w:cs="Times New Roman" w:hint="eastAsia"/>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rsidR="005E5EBE" w:rsidRPr="00263CC0" w:rsidRDefault="00C55356">
      <w:pPr>
        <w:ind w:firstLine="640"/>
        <w:rPr>
          <w:rFonts w:ascii="黑体" w:eastAsia="黑体" w:hAnsi="黑体" w:cs="Times New Roman"/>
          <w:sz w:val="32"/>
          <w:szCs w:val="32"/>
        </w:rPr>
      </w:pPr>
      <w:r w:rsidRPr="00263CC0">
        <w:rPr>
          <w:rFonts w:ascii="黑体" w:eastAsia="黑体" w:hAnsi="黑体" w:cs="Times New Roman" w:hint="eastAsia"/>
          <w:sz w:val="32"/>
          <w:szCs w:val="32"/>
        </w:rPr>
        <w:t>九、其他需要说明的事项</w:t>
      </w:r>
    </w:p>
    <w:p w:rsidR="005E5EBE" w:rsidRPr="00263CC0" w:rsidRDefault="00C55356">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sidRPr="00263CC0">
        <w:rPr>
          <w:rFonts w:ascii="方正仿宋简体" w:eastAsia="方正仿宋简体" w:hAnsi="Times New Roman" w:cs="Times New Roman" w:hint="eastAsia"/>
          <w:sz w:val="32"/>
          <w:szCs w:val="24"/>
        </w:rPr>
        <w:t>无。</w:t>
      </w:r>
    </w:p>
    <w:p w:rsidR="005E5EBE" w:rsidRPr="00263CC0" w:rsidRDefault="005E5EBE">
      <w:pPr>
        <w:ind w:firstLineChars="200" w:firstLine="640"/>
        <w:rPr>
          <w:rFonts w:ascii="仿宋_GB2312" w:eastAsia="仿宋_GB2312" w:hAnsi="仿宋_GB2312" w:cs="仿宋_GB2312"/>
          <w:sz w:val="32"/>
          <w:szCs w:val="32"/>
        </w:rPr>
      </w:pPr>
    </w:p>
    <w:sectPr w:rsidR="005E5EBE" w:rsidRPr="00263CC0" w:rsidSect="005E5EBE">
      <w:pgSz w:w="16838" w:h="11906" w:orient="landscape"/>
      <w:pgMar w:top="1800" w:right="1440" w:bottom="1800" w:left="144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412675" w15:done="0"/>
  <w15:commentEx w15:paraId="3CAF0DD2" w15:done="0"/>
  <w15:commentEx w15:paraId="59CD70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CB3" w:rsidRDefault="00C67CB3" w:rsidP="00263CC0">
      <w:r>
        <w:separator/>
      </w:r>
    </w:p>
  </w:endnote>
  <w:endnote w:type="continuationSeparator" w:id="1">
    <w:p w:rsidR="00C67CB3" w:rsidRDefault="00C67CB3" w:rsidP="00263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CB3" w:rsidRDefault="00C67CB3" w:rsidP="00263CC0">
      <w:r>
        <w:separator/>
      </w:r>
    </w:p>
  </w:footnote>
  <w:footnote w:type="continuationSeparator" w:id="1">
    <w:p w:rsidR="00C67CB3" w:rsidRDefault="00C67CB3" w:rsidP="00263CC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czjysk">
    <w15:presenceInfo w15:providerId="None" w15:userId="czjys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37AF6"/>
    <w:rsid w:val="00041994"/>
    <w:rsid w:val="00075D5F"/>
    <w:rsid w:val="000A6B33"/>
    <w:rsid w:val="000B3E8D"/>
    <w:rsid w:val="000C3A19"/>
    <w:rsid w:val="000D3F0D"/>
    <w:rsid w:val="001245BB"/>
    <w:rsid w:val="00174EBC"/>
    <w:rsid w:val="001E4577"/>
    <w:rsid w:val="00232292"/>
    <w:rsid w:val="00241FD4"/>
    <w:rsid w:val="00251B12"/>
    <w:rsid w:val="00256F62"/>
    <w:rsid w:val="00263CC0"/>
    <w:rsid w:val="00292E8E"/>
    <w:rsid w:val="00296113"/>
    <w:rsid w:val="002F3E58"/>
    <w:rsid w:val="0030542C"/>
    <w:rsid w:val="00311B7A"/>
    <w:rsid w:val="00314C7B"/>
    <w:rsid w:val="00346B63"/>
    <w:rsid w:val="00364058"/>
    <w:rsid w:val="003F082D"/>
    <w:rsid w:val="00451871"/>
    <w:rsid w:val="004537DD"/>
    <w:rsid w:val="004547AD"/>
    <w:rsid w:val="0047165F"/>
    <w:rsid w:val="00472923"/>
    <w:rsid w:val="004E3066"/>
    <w:rsid w:val="004E74CD"/>
    <w:rsid w:val="005549F6"/>
    <w:rsid w:val="00573562"/>
    <w:rsid w:val="005D3742"/>
    <w:rsid w:val="005E5EBE"/>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A72D2E"/>
    <w:rsid w:val="00A911E7"/>
    <w:rsid w:val="00A939D9"/>
    <w:rsid w:val="00AB1673"/>
    <w:rsid w:val="00AD44A3"/>
    <w:rsid w:val="00B20712"/>
    <w:rsid w:val="00B43238"/>
    <w:rsid w:val="00B75216"/>
    <w:rsid w:val="00B91D52"/>
    <w:rsid w:val="00BA1ACD"/>
    <w:rsid w:val="00BA49AE"/>
    <w:rsid w:val="00C55356"/>
    <w:rsid w:val="00C67CB3"/>
    <w:rsid w:val="00CA42DB"/>
    <w:rsid w:val="00CA7176"/>
    <w:rsid w:val="00CB0DD3"/>
    <w:rsid w:val="00CC163D"/>
    <w:rsid w:val="00CD2773"/>
    <w:rsid w:val="00CD417B"/>
    <w:rsid w:val="00CE143B"/>
    <w:rsid w:val="00D74B13"/>
    <w:rsid w:val="00D8117B"/>
    <w:rsid w:val="00E167C7"/>
    <w:rsid w:val="00EC47F6"/>
    <w:rsid w:val="00F24692"/>
    <w:rsid w:val="00F66032"/>
    <w:rsid w:val="00F958C2"/>
    <w:rsid w:val="01FB23CB"/>
    <w:rsid w:val="0B0D77B0"/>
    <w:rsid w:val="0BBA653A"/>
    <w:rsid w:val="0C3D5924"/>
    <w:rsid w:val="0D9F1876"/>
    <w:rsid w:val="10ED36A0"/>
    <w:rsid w:val="114917E9"/>
    <w:rsid w:val="15F42192"/>
    <w:rsid w:val="19C36DAA"/>
    <w:rsid w:val="1A5D684E"/>
    <w:rsid w:val="1ABE55EE"/>
    <w:rsid w:val="1D954D97"/>
    <w:rsid w:val="2A012DF7"/>
    <w:rsid w:val="303D4E30"/>
    <w:rsid w:val="316E2FA4"/>
    <w:rsid w:val="32263325"/>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6DD81C5B"/>
    <w:rsid w:val="724C7A91"/>
    <w:rsid w:val="72617A36"/>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B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sid w:val="005E5EBE"/>
    <w:rPr>
      <w:b/>
      <w:bCs/>
    </w:rPr>
  </w:style>
  <w:style w:type="paragraph" w:styleId="a4">
    <w:name w:val="annotation text"/>
    <w:basedOn w:val="a"/>
    <w:link w:val="Char0"/>
    <w:semiHidden/>
    <w:unhideWhenUsed/>
    <w:qFormat/>
    <w:rsid w:val="005E5EBE"/>
    <w:pPr>
      <w:jc w:val="left"/>
    </w:pPr>
  </w:style>
  <w:style w:type="paragraph" w:styleId="a5">
    <w:name w:val="Balloon Text"/>
    <w:basedOn w:val="a"/>
    <w:link w:val="Char1"/>
    <w:semiHidden/>
    <w:unhideWhenUsed/>
    <w:qFormat/>
    <w:rsid w:val="005E5EBE"/>
    <w:rPr>
      <w:sz w:val="18"/>
      <w:szCs w:val="18"/>
    </w:rPr>
  </w:style>
  <w:style w:type="paragraph" w:styleId="a6">
    <w:name w:val="footer"/>
    <w:basedOn w:val="a"/>
    <w:link w:val="Char2"/>
    <w:rsid w:val="005E5EBE"/>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Char3"/>
    <w:rsid w:val="005E5EB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5E5EBE"/>
    <w:rPr>
      <w:rFonts w:ascii="Times New Roman" w:hAnsi="Times New Roman" w:cs="Times New Roman"/>
      <w:szCs w:val="24"/>
    </w:rPr>
  </w:style>
  <w:style w:type="paragraph" w:styleId="2">
    <w:name w:val="toc 2"/>
    <w:basedOn w:val="a"/>
    <w:next w:val="a"/>
    <w:rsid w:val="005E5EBE"/>
    <w:pPr>
      <w:ind w:leftChars="200" w:left="420"/>
    </w:pPr>
    <w:rPr>
      <w:rFonts w:ascii="Times New Roman" w:hAnsi="Times New Roman" w:cs="Times New Roman"/>
      <w:szCs w:val="24"/>
    </w:rPr>
  </w:style>
  <w:style w:type="character" w:styleId="a8">
    <w:name w:val="annotation reference"/>
    <w:basedOn w:val="a0"/>
    <w:semiHidden/>
    <w:unhideWhenUsed/>
    <w:rsid w:val="005E5EBE"/>
    <w:rPr>
      <w:sz w:val="21"/>
      <w:szCs w:val="21"/>
    </w:rPr>
  </w:style>
  <w:style w:type="character" w:customStyle="1" w:styleId="Char3">
    <w:name w:val="页眉 Char"/>
    <w:basedOn w:val="a0"/>
    <w:link w:val="a7"/>
    <w:rsid w:val="005E5EBE"/>
    <w:rPr>
      <w:rFonts w:ascii="Times New Roman" w:eastAsia="宋体" w:hAnsi="Times New Roman" w:cs="Times New Roman"/>
      <w:sz w:val="18"/>
      <w:szCs w:val="18"/>
    </w:rPr>
  </w:style>
  <w:style w:type="character" w:customStyle="1" w:styleId="Char2">
    <w:name w:val="页脚 Char"/>
    <w:basedOn w:val="a0"/>
    <w:link w:val="a6"/>
    <w:qFormat/>
    <w:rsid w:val="005E5EBE"/>
    <w:rPr>
      <w:rFonts w:ascii="Times New Roman" w:eastAsia="宋体" w:hAnsi="Times New Roman" w:cs="Times New Roman"/>
      <w:sz w:val="18"/>
      <w:szCs w:val="18"/>
    </w:rPr>
  </w:style>
  <w:style w:type="character" w:customStyle="1" w:styleId="Char0">
    <w:name w:val="批注文字 Char"/>
    <w:basedOn w:val="a0"/>
    <w:link w:val="a4"/>
    <w:semiHidden/>
    <w:rsid w:val="005E5EBE"/>
    <w:rPr>
      <w:rFonts w:ascii="Calibri" w:hAnsi="Calibri" w:cs="黑体"/>
      <w:kern w:val="2"/>
      <w:sz w:val="21"/>
      <w:szCs w:val="22"/>
    </w:rPr>
  </w:style>
  <w:style w:type="character" w:customStyle="1" w:styleId="Char">
    <w:name w:val="批注主题 Char"/>
    <w:basedOn w:val="Char0"/>
    <w:link w:val="a3"/>
    <w:semiHidden/>
    <w:rsid w:val="005E5EBE"/>
    <w:rPr>
      <w:rFonts w:ascii="Calibri" w:hAnsi="Calibri" w:cs="黑体"/>
      <w:b/>
      <w:bCs/>
      <w:kern w:val="2"/>
      <w:sz w:val="21"/>
      <w:szCs w:val="22"/>
    </w:rPr>
  </w:style>
  <w:style w:type="character" w:customStyle="1" w:styleId="Char1">
    <w:name w:val="批注框文本 Char"/>
    <w:basedOn w:val="a0"/>
    <w:link w:val="a5"/>
    <w:semiHidden/>
    <w:rsid w:val="005E5EBE"/>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645</Words>
  <Characters>3677</Characters>
  <Application>Microsoft Office Word</Application>
  <DocSecurity>0</DocSecurity>
  <Lines>30</Lines>
  <Paragraphs>8</Paragraphs>
  <ScaleCrop>false</ScaleCrop>
  <Company>微软中国</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12</cp:revision>
  <cp:lastPrinted>2017-02-07T01:57:00Z</cp:lastPrinted>
  <dcterms:created xsi:type="dcterms:W3CDTF">2017-04-25T03:22:00Z</dcterms:created>
  <dcterms:modified xsi:type="dcterms:W3CDTF">2019-03-14T07:02:00Z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