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E1" w:rsidRPr="00D8117B" w:rsidRDefault="00F24692">
      <w:pPr>
        <w:jc w:val="center"/>
        <w:rPr>
          <w:rFonts w:ascii="方正小标宋简体" w:eastAsia="方正小标宋简体" w:hAnsi="Times New Roman" w:cs="Times New Roman"/>
          <w:sz w:val="44"/>
          <w:szCs w:val="44"/>
        </w:rPr>
      </w:pPr>
      <w:r w:rsidRPr="00D8117B">
        <w:rPr>
          <w:rFonts w:ascii="方正小标宋简体" w:eastAsia="方正小标宋简体" w:hAnsi="Times New Roman" w:cs="Times New Roman" w:hint="eastAsia"/>
          <w:sz w:val="44"/>
          <w:szCs w:val="44"/>
        </w:rPr>
        <w:t>北戴河新区</w:t>
      </w:r>
      <w:r w:rsidR="008722B6" w:rsidRPr="008722B6">
        <w:rPr>
          <w:rFonts w:ascii="方正小标宋简体" w:eastAsia="方正小标宋简体" w:hAnsi="Times New Roman" w:cs="Times New Roman" w:hint="eastAsia"/>
          <w:sz w:val="44"/>
          <w:szCs w:val="44"/>
        </w:rPr>
        <w:t>人民法院</w:t>
      </w:r>
      <w:r w:rsidR="001E4577">
        <w:rPr>
          <w:rFonts w:ascii="方正小标宋简体" w:eastAsia="方正小标宋简体" w:hAnsi="Times New Roman" w:cs="Times New Roman" w:hint="eastAsia"/>
          <w:sz w:val="44"/>
          <w:szCs w:val="44"/>
        </w:rPr>
        <w:t>2018</w:t>
      </w:r>
      <w:r w:rsidRPr="00D8117B">
        <w:rPr>
          <w:rFonts w:ascii="方正小标宋简体" w:eastAsia="方正小标宋简体" w:hAnsi="Times New Roman" w:cs="Times New Roman" w:hint="eastAsia"/>
          <w:sz w:val="44"/>
          <w:szCs w:val="44"/>
        </w:rPr>
        <w:t>年部门预算信息公开</w:t>
      </w:r>
      <w:r w:rsidR="000D3F0D">
        <w:rPr>
          <w:rFonts w:ascii="方正小标宋简体" w:eastAsia="方正小标宋简体" w:hAnsi="Times New Roman" w:cs="Times New Roman" w:hint="eastAsia"/>
          <w:sz w:val="44"/>
          <w:szCs w:val="44"/>
        </w:rPr>
        <w:t>说明</w:t>
      </w:r>
    </w:p>
    <w:p w:rsidR="00751FE1" w:rsidRPr="00D8117B" w:rsidRDefault="00F24692">
      <w:pPr>
        <w:ind w:firstLineChars="200" w:firstLine="640"/>
        <w:rPr>
          <w:rFonts w:ascii="方正仿宋简体" w:eastAsia="方正仿宋简体" w:hAnsi="Times New Roman" w:cs="Times New Roman"/>
          <w:sz w:val="32"/>
          <w:szCs w:val="32"/>
        </w:rPr>
      </w:pPr>
      <w:r w:rsidRPr="00D8117B">
        <w:rPr>
          <w:rFonts w:ascii="方正仿宋简体" w:eastAsia="方正仿宋简体" w:hAnsi="Times New Roman" w:cs="Times New Roman" w:hint="eastAsia"/>
          <w:sz w:val="32"/>
          <w:szCs w:val="32"/>
        </w:rPr>
        <w:t>按照《预算法》、《地方预决算公开操作规程》和《河北省省级预算公开办法》规定，现将</w:t>
      </w:r>
      <w:r w:rsidR="00232292">
        <w:rPr>
          <w:rFonts w:ascii="方正仿宋简体" w:eastAsia="方正仿宋简体" w:hAnsi="Times New Roman" w:cs="Times New Roman" w:hint="eastAsia"/>
          <w:sz w:val="32"/>
          <w:szCs w:val="32"/>
        </w:rPr>
        <w:t>2018</w:t>
      </w:r>
      <w:r w:rsidRPr="00D8117B">
        <w:rPr>
          <w:rFonts w:ascii="方正仿宋简体" w:eastAsia="方正仿宋简体" w:hAnsi="Times New Roman" w:cs="Times New Roman" w:hint="eastAsia"/>
          <w:sz w:val="32"/>
          <w:szCs w:val="32"/>
        </w:rPr>
        <w:t>年部门预算公开如下：</w:t>
      </w:r>
    </w:p>
    <w:p w:rsidR="00751FE1" w:rsidRDefault="00F24692" w:rsidP="008722B6">
      <w:pPr>
        <w:snapToGrid w:val="0"/>
        <w:spacing w:line="5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D9499E" w:rsidRPr="00587525" w:rsidRDefault="00F24692" w:rsidP="00587525">
      <w:pPr>
        <w:snapToGrid w:val="0"/>
        <w:spacing w:line="520" w:lineRule="exact"/>
        <w:ind w:firstLineChars="200" w:firstLine="640"/>
        <w:rPr>
          <w:rFonts w:ascii="方正仿宋简体" w:eastAsia="方正仿宋简体" w:hAnsi="Times New Roman" w:cs="Times New Roman"/>
          <w:sz w:val="32"/>
          <w:szCs w:val="32"/>
        </w:rPr>
      </w:pPr>
      <w:r w:rsidRPr="00587525">
        <w:rPr>
          <w:rFonts w:ascii="方正仿宋简体" w:eastAsia="方正仿宋简体" w:hAnsi="Times New Roman" w:cs="Times New Roman" w:hint="eastAsia"/>
          <w:sz w:val="32"/>
          <w:szCs w:val="32"/>
        </w:rPr>
        <w:t>部门</w:t>
      </w:r>
      <w:r w:rsidRPr="00587525">
        <w:rPr>
          <w:rFonts w:ascii="方正仿宋简体" w:eastAsia="方正仿宋简体" w:hAnsi="Times New Roman" w:cs="Times New Roman"/>
          <w:sz w:val="32"/>
          <w:szCs w:val="32"/>
        </w:rPr>
        <w:t>职责：</w:t>
      </w:r>
      <w:r w:rsidR="008722B6" w:rsidRPr="00587525">
        <w:rPr>
          <w:rFonts w:ascii="方正仿宋简体" w:eastAsia="方正仿宋简体" w:hAnsi="Times New Roman" w:cs="Times New Roman" w:hint="eastAsia"/>
          <w:sz w:val="32"/>
          <w:szCs w:val="32"/>
        </w:rPr>
        <w:t>综合办公室 （纪检监察室、政治处）</w:t>
      </w:r>
      <w:r w:rsidR="00D9499E" w:rsidRPr="00587525">
        <w:rPr>
          <w:rFonts w:ascii="方正仿宋简体" w:eastAsia="方正仿宋简体" w:hAnsi="Times New Roman" w:cs="Times New Roman" w:hint="eastAsia"/>
          <w:sz w:val="32"/>
          <w:szCs w:val="32"/>
        </w:rPr>
        <w:t>负责协调本院各部门工作；承办各种会议事务；起草综合性文件、报告等文稿；负责与人大代表、政协委员联络工作；负责文秘、信息、保密、资料、档案管理和办公自动化管理；负责司法技术辅助工作；负责计财装备、法律政策研究工作；负责干部队伍管理、机关党的建设、新闻宣传、教育培训、纪检监察等工作；承办院党组决定的有关事项。 立案庭（审判监督庭、执行局、法警大队）负责对本院依法受理的各类案件进行立案登记；办理诉前财产、证据保全；审查受理本院管辖的再审案件；负责指定管辖和移送管辖事项；负责接待各类申诉来访；负责本院受理案件的流程管理；负责审理本院院长依照审判监督程序提起再审、上级人民法院指令再审和人民检察院依法抗诉的刑事、民事、行政案件及各类申请再审案件；负责本院调查研究、司法统计、各类案件及法律文书质量的检查监督、评查管理工作，组织召开审判委员会；负责社会管理综合治理工作；依法办理发生法律效力的民事、行政案件和裁定的执行事项以及刑事案件判决和裁定</w:t>
      </w:r>
      <w:r w:rsidR="00D9499E" w:rsidRPr="00587525">
        <w:rPr>
          <w:rFonts w:ascii="方正仿宋简体" w:eastAsia="方正仿宋简体" w:hAnsi="Times New Roman" w:cs="Times New Roman" w:hint="eastAsia"/>
          <w:sz w:val="32"/>
          <w:szCs w:val="32"/>
        </w:rPr>
        <w:lastRenderedPageBreak/>
        <w:t>中有关财产补发的执行事项；负责开庭值庭、提解押解刑事被告人、司法拘留、安全保卫、送达法律文书；协助上级法院执行死刑工作。综合审判庭负责依法审理由本院管辖处有期徒刑以下的一审普通刑事案件；负责审理成年人犯罪案件和失足青少年帮教转化工作，加强社会管理综合治理和刑事审判调研工作，配合开展缓刑人员回访和社会矫正工作。负责审理本辖区管辖的财产所有权纠纷、婚姻家庭纠纷、民间借贷、各类赔偿案件；负责审理民商事合同纠纷、公司股东权益纠纷以及企业破产案件等；负责制式产权纠纷、劳动争议、商品房买卖纠纷等案件的审理。负责不服行政机关在本辖区所作的具体行政行为而提起诉讼的及市中院指定的一审行政案件的审判与和解；负责非诉行政执行案件立案的审查、执行工作。</w:t>
      </w:r>
    </w:p>
    <w:p w:rsidR="00D9499E" w:rsidRDefault="00D9499E" w:rsidP="008722B6">
      <w:pPr>
        <w:snapToGrid w:val="0"/>
        <w:spacing w:line="520" w:lineRule="exact"/>
        <w:ind w:firstLineChars="200" w:firstLine="643"/>
        <w:rPr>
          <w:rFonts w:ascii="方正小标宋_GBK" w:eastAsia="方正小标宋_GBK"/>
          <w:b/>
          <w:sz w:val="32"/>
          <w:szCs w:val="32"/>
        </w:rPr>
      </w:pPr>
    </w:p>
    <w:p w:rsidR="00751FE1" w:rsidRPr="00D8117B" w:rsidRDefault="00F24692" w:rsidP="008722B6">
      <w:pPr>
        <w:snapToGrid w:val="0"/>
        <w:spacing w:line="520" w:lineRule="exact"/>
        <w:ind w:firstLineChars="200" w:firstLine="643"/>
        <w:rPr>
          <w:rFonts w:ascii="方正仿宋简体" w:eastAsia="方正仿宋简体" w:hAnsi="Times New Roman" w:cs="Times New Roman"/>
          <w:b/>
          <w:sz w:val="32"/>
          <w:szCs w:val="32"/>
        </w:rPr>
      </w:pPr>
      <w:r w:rsidRPr="00D8117B">
        <w:rPr>
          <w:rFonts w:ascii="方正仿宋简体" w:eastAsia="方正仿宋简体" w:hAnsi="Times New Roman" w:cs="Times New Roman" w:hint="eastAsia"/>
          <w:b/>
          <w:sz w:val="32"/>
          <w:szCs w:val="32"/>
        </w:rPr>
        <w:t>机构设置：</w:t>
      </w:r>
    </w:p>
    <w:p w:rsidR="00751FE1" w:rsidRDefault="00F24692">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751FE1">
        <w:trPr>
          <w:trHeight w:val="300"/>
          <w:tblHeader/>
          <w:jc w:val="center"/>
        </w:trPr>
        <w:tc>
          <w:tcPr>
            <w:tcW w:w="4417" w:type="dxa"/>
            <w:vMerge w:val="restart"/>
            <w:vAlign w:val="center"/>
          </w:tcPr>
          <w:p w:rsidR="00751FE1" w:rsidRDefault="00F2469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751FE1" w:rsidRDefault="00F2469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751FE1" w:rsidRDefault="00F2469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751FE1" w:rsidRDefault="00F2469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751FE1">
        <w:trPr>
          <w:trHeight w:val="300"/>
          <w:tblHeader/>
          <w:jc w:val="center"/>
        </w:trPr>
        <w:tc>
          <w:tcPr>
            <w:tcW w:w="4417" w:type="dxa"/>
            <w:vMerge/>
            <w:vAlign w:val="center"/>
          </w:tcPr>
          <w:p w:rsidR="00751FE1" w:rsidRDefault="00751FE1">
            <w:pPr>
              <w:spacing w:line="300" w:lineRule="exact"/>
              <w:jc w:val="left"/>
              <w:outlineLvl w:val="0"/>
              <w:rPr>
                <w:rFonts w:ascii="Times New Roman" w:hAnsi="Times New Roman" w:cs="Times New Roman"/>
                <w:szCs w:val="24"/>
              </w:rPr>
            </w:pPr>
          </w:p>
        </w:tc>
        <w:tc>
          <w:tcPr>
            <w:tcW w:w="1134" w:type="dxa"/>
            <w:vMerge/>
            <w:vAlign w:val="center"/>
          </w:tcPr>
          <w:p w:rsidR="00751FE1" w:rsidRDefault="00751FE1">
            <w:pPr>
              <w:spacing w:line="300" w:lineRule="exact"/>
              <w:jc w:val="left"/>
              <w:outlineLvl w:val="0"/>
              <w:rPr>
                <w:rFonts w:ascii="Times New Roman" w:hAnsi="Times New Roman" w:cs="Times New Roman"/>
                <w:szCs w:val="24"/>
              </w:rPr>
            </w:pPr>
          </w:p>
        </w:tc>
        <w:tc>
          <w:tcPr>
            <w:tcW w:w="1276" w:type="dxa"/>
            <w:vMerge/>
            <w:vAlign w:val="center"/>
          </w:tcPr>
          <w:p w:rsidR="00751FE1" w:rsidRDefault="00751FE1">
            <w:pPr>
              <w:spacing w:line="300" w:lineRule="exact"/>
              <w:jc w:val="left"/>
              <w:outlineLvl w:val="0"/>
              <w:rPr>
                <w:rFonts w:ascii="Times New Roman" w:hAnsi="Times New Roman" w:cs="Times New Roman"/>
                <w:szCs w:val="24"/>
              </w:rPr>
            </w:pPr>
          </w:p>
        </w:tc>
        <w:tc>
          <w:tcPr>
            <w:tcW w:w="2902" w:type="dxa"/>
            <w:vMerge/>
            <w:vAlign w:val="center"/>
          </w:tcPr>
          <w:p w:rsidR="00751FE1" w:rsidRDefault="00751FE1">
            <w:pPr>
              <w:spacing w:line="300" w:lineRule="exact"/>
              <w:jc w:val="left"/>
              <w:outlineLvl w:val="0"/>
              <w:rPr>
                <w:rFonts w:ascii="Times New Roman" w:hAnsi="Times New Roman" w:cs="Times New Roman"/>
                <w:szCs w:val="24"/>
              </w:rPr>
            </w:pPr>
          </w:p>
        </w:tc>
      </w:tr>
      <w:tr w:rsidR="00751FE1">
        <w:trPr>
          <w:trHeight w:val="227"/>
          <w:jc w:val="center"/>
        </w:trPr>
        <w:tc>
          <w:tcPr>
            <w:tcW w:w="4417" w:type="dxa"/>
            <w:vAlign w:val="center"/>
          </w:tcPr>
          <w:p w:rsidR="00751FE1" w:rsidRPr="00036B20" w:rsidRDefault="006A63BD" w:rsidP="006A63BD">
            <w:pPr>
              <w:spacing w:line="300" w:lineRule="exact"/>
              <w:jc w:val="left"/>
              <w:rPr>
                <w:rFonts w:ascii="Times New Roman" w:eastAsia="方正书宋_GBK" w:hAnsi="Times New Roman" w:cs="Times New Roman"/>
                <w:color w:val="000000" w:themeColor="text1"/>
                <w:szCs w:val="24"/>
              </w:rPr>
            </w:pPr>
            <w:r w:rsidRPr="00036B20">
              <w:rPr>
                <w:rFonts w:ascii="方正书宋_GBK" w:eastAsia="方正书宋_GBK" w:hint="eastAsia"/>
                <w:color w:val="000000" w:themeColor="text1"/>
              </w:rPr>
              <w:t>北戴河新区人民法院</w:t>
            </w:r>
          </w:p>
        </w:tc>
        <w:tc>
          <w:tcPr>
            <w:tcW w:w="1134" w:type="dxa"/>
            <w:vAlign w:val="center"/>
          </w:tcPr>
          <w:p w:rsidR="00751FE1" w:rsidRDefault="00F24692">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751FE1" w:rsidRDefault="006A63BD">
            <w:pPr>
              <w:spacing w:line="300" w:lineRule="exact"/>
              <w:jc w:val="center"/>
              <w:rPr>
                <w:rFonts w:ascii="Times New Roman" w:eastAsia="方正书宋_GBK" w:hAnsi="Times New Roman" w:cs="Times New Roman"/>
                <w:szCs w:val="24"/>
              </w:rPr>
            </w:pPr>
            <w:r>
              <w:rPr>
                <w:rFonts w:ascii="方正书宋_GBK" w:eastAsia="方正书宋_GBK" w:hint="eastAsia"/>
              </w:rPr>
              <w:t>正</w:t>
            </w:r>
            <w:r w:rsidR="00F24692">
              <w:rPr>
                <w:rFonts w:ascii="方正书宋_GBK" w:eastAsia="方正书宋_GBK" w:hint="eastAsia"/>
              </w:rPr>
              <w:t>处级</w:t>
            </w:r>
          </w:p>
        </w:tc>
        <w:tc>
          <w:tcPr>
            <w:tcW w:w="2902" w:type="dxa"/>
            <w:vAlign w:val="center"/>
          </w:tcPr>
          <w:p w:rsidR="00751FE1" w:rsidRDefault="00F24692">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bl>
    <w:p w:rsidR="00751FE1" w:rsidRDefault="00751FE1"/>
    <w:p w:rsidR="00751FE1" w:rsidRDefault="00F24692">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8445FA" w:rsidRPr="006F462B" w:rsidRDefault="008445FA" w:rsidP="006F462B">
      <w:pPr>
        <w:ind w:firstLineChars="200" w:firstLine="640"/>
        <w:rPr>
          <w:rFonts w:ascii="方正仿宋简体" w:eastAsia="方正仿宋简体" w:hAnsi="Times New Roman" w:cs="Times New Roman"/>
          <w:color w:val="FF0000"/>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lastRenderedPageBreak/>
        <w:t>在</w:t>
      </w:r>
      <w:r>
        <w:rPr>
          <w:rFonts w:ascii="方正仿宋简体" w:eastAsia="方正仿宋简体" w:hAnsi="Times New Roman" w:cs="Times New Roman"/>
          <w:sz w:val="32"/>
          <w:szCs w:val="32"/>
        </w:rPr>
        <w:t>预算中。</w:t>
      </w:r>
      <w:r w:rsidRPr="00036B20">
        <w:rPr>
          <w:rFonts w:ascii="方正仿宋简体" w:eastAsia="方正仿宋简体" w:hAnsi="Times New Roman" w:cs="Times New Roman" w:hint="eastAsia"/>
          <w:color w:val="000000" w:themeColor="text1"/>
          <w:sz w:val="32"/>
          <w:szCs w:val="32"/>
        </w:rPr>
        <w:t>北戴河新区人民法院</w:t>
      </w:r>
      <w:r>
        <w:rPr>
          <w:rFonts w:ascii="方正仿宋简体" w:eastAsia="方正仿宋简体" w:hAnsi="Times New Roman" w:cs="Times New Roman"/>
          <w:sz w:val="32"/>
          <w:szCs w:val="32"/>
        </w:rPr>
        <w:t>的收支包含在部门预算中。</w:t>
      </w:r>
    </w:p>
    <w:p w:rsidR="00751FE1" w:rsidRPr="00D8117B" w:rsidRDefault="00F24692" w:rsidP="00D8117B">
      <w:pPr>
        <w:ind w:firstLineChars="200" w:firstLine="643"/>
        <w:rPr>
          <w:rFonts w:ascii="方正仿宋简体" w:eastAsia="方正仿宋简体" w:hAnsi="Times New Roman" w:cs="Times New Roman"/>
          <w:b/>
          <w:sz w:val="32"/>
          <w:szCs w:val="32"/>
        </w:rPr>
      </w:pPr>
      <w:r w:rsidRPr="00D8117B">
        <w:rPr>
          <w:rFonts w:ascii="方正仿宋简体" w:eastAsia="方正仿宋简体" w:hAnsi="Times New Roman" w:cs="Times New Roman" w:hint="eastAsia"/>
          <w:b/>
          <w:sz w:val="32"/>
          <w:szCs w:val="32"/>
        </w:rPr>
        <w:t>1</w:t>
      </w:r>
      <w:r w:rsidR="00D8117B">
        <w:rPr>
          <w:rFonts w:ascii="方正仿宋简体" w:eastAsia="方正仿宋简体" w:hAnsi="Times New Roman" w:cs="Times New Roman" w:hint="eastAsia"/>
          <w:b/>
          <w:sz w:val="32"/>
          <w:szCs w:val="32"/>
        </w:rPr>
        <w:t>.</w:t>
      </w:r>
      <w:r w:rsidRPr="00D8117B">
        <w:rPr>
          <w:rFonts w:ascii="方正仿宋简体" w:eastAsia="方正仿宋简体" w:hAnsi="Times New Roman" w:cs="Times New Roman"/>
          <w:b/>
          <w:sz w:val="32"/>
          <w:szCs w:val="32"/>
        </w:rPr>
        <w:t>收入说明</w:t>
      </w:r>
    </w:p>
    <w:p w:rsidR="00751FE1" w:rsidRPr="003C50C0" w:rsidRDefault="00AF1AE6">
      <w:pPr>
        <w:ind w:firstLineChars="200" w:firstLine="640"/>
        <w:rPr>
          <w:rFonts w:ascii="方正仿宋简体" w:eastAsia="方正仿宋简体" w:hAnsi="Times New Roman" w:cs="Times New Roman"/>
          <w:color w:val="000000" w:themeColor="text1"/>
          <w:sz w:val="32"/>
          <w:szCs w:val="32"/>
        </w:rPr>
      </w:pPr>
      <w:r>
        <w:rPr>
          <w:rFonts w:ascii="方正仿宋简体" w:eastAsia="方正仿宋简体" w:hAnsi="Times New Roman" w:cs="Times New Roman" w:hint="eastAsia"/>
          <w:sz w:val="32"/>
          <w:szCs w:val="32"/>
        </w:rPr>
        <w:t>反</w:t>
      </w:r>
      <w:r w:rsidR="00F24692" w:rsidRPr="00D8117B">
        <w:rPr>
          <w:rFonts w:ascii="方正仿宋简体" w:eastAsia="方正仿宋简体" w:hAnsi="Times New Roman" w:cs="Times New Roman" w:hint="eastAsia"/>
          <w:sz w:val="32"/>
          <w:szCs w:val="32"/>
        </w:rPr>
        <w:t>映本部门当年全部收入，</w:t>
      </w:r>
      <w:r w:rsidR="000A6B33">
        <w:rPr>
          <w:rFonts w:ascii="方正仿宋简体" w:eastAsia="方正仿宋简体" w:hAnsi="Times New Roman" w:cs="Times New Roman" w:hint="eastAsia"/>
          <w:sz w:val="32"/>
          <w:szCs w:val="32"/>
        </w:rPr>
        <w:t>2018</w:t>
      </w:r>
      <w:r w:rsidR="00F24692" w:rsidRPr="00D8117B">
        <w:rPr>
          <w:rFonts w:ascii="方正仿宋简体" w:eastAsia="方正仿宋简体" w:hAnsi="Times New Roman" w:cs="Times New Roman" w:hint="eastAsia"/>
          <w:sz w:val="32"/>
          <w:szCs w:val="32"/>
        </w:rPr>
        <w:t>年预算收入</w:t>
      </w:r>
      <w:r w:rsidR="00AF2CB4" w:rsidRPr="003C50C0">
        <w:rPr>
          <w:rFonts w:ascii="方正仿宋简体" w:eastAsia="方正仿宋简体" w:hAnsi="Times New Roman" w:cs="Times New Roman"/>
          <w:color w:val="000000" w:themeColor="text1"/>
          <w:sz w:val="32"/>
          <w:szCs w:val="32"/>
        </w:rPr>
        <w:t>820.1</w:t>
      </w:r>
      <w:r w:rsidR="00F24692" w:rsidRPr="003C50C0">
        <w:rPr>
          <w:rFonts w:ascii="方正仿宋简体" w:eastAsia="方正仿宋简体" w:hAnsi="Times New Roman" w:cs="Times New Roman" w:hint="eastAsia"/>
          <w:color w:val="000000" w:themeColor="text1"/>
          <w:sz w:val="32"/>
          <w:szCs w:val="32"/>
        </w:rPr>
        <w:t>万元，其中：</w:t>
      </w:r>
      <w:r w:rsidR="006509AF" w:rsidRPr="003C50C0">
        <w:rPr>
          <w:rFonts w:ascii="方正仿宋简体" w:eastAsia="方正仿宋简体" w:hAnsi="Times New Roman" w:cs="Times New Roman" w:hint="eastAsia"/>
          <w:color w:val="000000" w:themeColor="text1"/>
          <w:sz w:val="32"/>
          <w:szCs w:val="32"/>
        </w:rPr>
        <w:t>一般公共预算拨款</w:t>
      </w:r>
      <w:r w:rsidR="00AF2CB4" w:rsidRPr="003C50C0">
        <w:rPr>
          <w:rFonts w:ascii="方正仿宋简体" w:eastAsia="方正仿宋简体" w:hAnsi="Times New Roman" w:cs="Times New Roman"/>
          <w:color w:val="000000" w:themeColor="text1"/>
          <w:sz w:val="32"/>
          <w:szCs w:val="32"/>
        </w:rPr>
        <w:t>820.1</w:t>
      </w:r>
      <w:r w:rsidR="006509AF" w:rsidRPr="003C50C0">
        <w:rPr>
          <w:rFonts w:ascii="方正仿宋简体" w:eastAsia="方正仿宋简体" w:hAnsi="Times New Roman" w:cs="Times New Roman" w:hint="eastAsia"/>
          <w:color w:val="000000" w:themeColor="text1"/>
          <w:sz w:val="32"/>
          <w:szCs w:val="32"/>
        </w:rPr>
        <w:t>万元（非</w:t>
      </w:r>
      <w:r w:rsidR="00F24692" w:rsidRPr="003C50C0">
        <w:rPr>
          <w:rFonts w:ascii="方正仿宋简体" w:eastAsia="方正仿宋简体" w:hAnsi="Times New Roman" w:cs="Times New Roman" w:hint="eastAsia"/>
          <w:color w:val="000000" w:themeColor="text1"/>
          <w:sz w:val="32"/>
          <w:szCs w:val="32"/>
        </w:rPr>
        <w:t>限额</w:t>
      </w:r>
      <w:r w:rsidR="006509AF" w:rsidRPr="003C50C0">
        <w:rPr>
          <w:rFonts w:ascii="方正仿宋简体" w:eastAsia="方正仿宋简体" w:hAnsi="Times New Roman" w:cs="Times New Roman" w:hint="eastAsia"/>
          <w:color w:val="000000" w:themeColor="text1"/>
          <w:sz w:val="32"/>
          <w:szCs w:val="32"/>
        </w:rPr>
        <w:t>补助</w:t>
      </w:r>
      <w:r w:rsidR="00AF2CB4" w:rsidRPr="003C50C0">
        <w:rPr>
          <w:rFonts w:ascii="方正仿宋简体" w:eastAsia="方正仿宋简体" w:hAnsi="Times New Roman" w:cs="Times New Roman"/>
          <w:color w:val="000000" w:themeColor="text1"/>
          <w:sz w:val="32"/>
          <w:szCs w:val="32"/>
        </w:rPr>
        <w:t>0</w:t>
      </w:r>
      <w:r w:rsidR="00F24692" w:rsidRPr="003C50C0">
        <w:rPr>
          <w:rFonts w:ascii="方正仿宋简体" w:eastAsia="方正仿宋简体" w:hAnsi="Times New Roman" w:cs="Times New Roman" w:hint="eastAsia"/>
          <w:color w:val="000000" w:themeColor="text1"/>
          <w:sz w:val="32"/>
          <w:szCs w:val="32"/>
        </w:rPr>
        <w:t>万元，</w:t>
      </w:r>
      <w:r w:rsidR="006509AF" w:rsidRPr="003C50C0">
        <w:rPr>
          <w:rFonts w:ascii="方正仿宋简体" w:eastAsia="方正仿宋简体" w:hAnsi="Times New Roman" w:cs="Times New Roman" w:hint="eastAsia"/>
          <w:color w:val="000000" w:themeColor="text1"/>
          <w:sz w:val="32"/>
          <w:szCs w:val="32"/>
        </w:rPr>
        <w:t>提前通知转移支付</w:t>
      </w:r>
      <w:r w:rsidR="00AF2CB4" w:rsidRPr="003C50C0">
        <w:rPr>
          <w:rFonts w:ascii="方正仿宋简体" w:eastAsia="方正仿宋简体" w:hAnsi="Times New Roman" w:cs="Times New Roman"/>
          <w:color w:val="000000" w:themeColor="text1"/>
          <w:sz w:val="32"/>
          <w:szCs w:val="32"/>
        </w:rPr>
        <w:t>0</w:t>
      </w:r>
      <w:r w:rsidR="00F24692" w:rsidRPr="003C50C0">
        <w:rPr>
          <w:rFonts w:ascii="方正仿宋简体" w:eastAsia="方正仿宋简体" w:hAnsi="Times New Roman" w:cs="Times New Roman" w:hint="eastAsia"/>
          <w:color w:val="000000" w:themeColor="text1"/>
          <w:sz w:val="32"/>
          <w:szCs w:val="32"/>
        </w:rPr>
        <w:t>万元</w:t>
      </w:r>
      <w:r w:rsidR="006509AF" w:rsidRPr="003C50C0">
        <w:rPr>
          <w:rFonts w:ascii="方正仿宋简体" w:eastAsia="方正仿宋简体" w:hAnsi="Times New Roman" w:cs="Times New Roman" w:hint="eastAsia"/>
          <w:color w:val="000000" w:themeColor="text1"/>
          <w:sz w:val="32"/>
          <w:szCs w:val="32"/>
        </w:rPr>
        <w:t>）；基金预算拨款</w:t>
      </w:r>
      <w:r w:rsidR="00AF2CB4" w:rsidRPr="003C50C0">
        <w:rPr>
          <w:rFonts w:ascii="方正仿宋简体" w:eastAsia="方正仿宋简体" w:hAnsi="Times New Roman" w:cs="Times New Roman"/>
          <w:color w:val="000000" w:themeColor="text1"/>
          <w:sz w:val="32"/>
          <w:szCs w:val="32"/>
        </w:rPr>
        <w:t>0</w:t>
      </w:r>
      <w:r w:rsidR="006509AF" w:rsidRPr="003C50C0">
        <w:rPr>
          <w:rFonts w:ascii="方正仿宋简体" w:eastAsia="方正仿宋简体" w:hAnsi="Times New Roman" w:cs="Times New Roman" w:hint="eastAsia"/>
          <w:color w:val="000000" w:themeColor="text1"/>
          <w:sz w:val="32"/>
          <w:szCs w:val="32"/>
        </w:rPr>
        <w:t>万元。</w:t>
      </w:r>
    </w:p>
    <w:p w:rsidR="00751FE1" w:rsidRPr="00D8117B" w:rsidRDefault="00D8117B" w:rsidP="00D8117B">
      <w:pPr>
        <w:ind w:left="640"/>
        <w:rPr>
          <w:rFonts w:ascii="方正仿宋简体" w:eastAsia="方正仿宋简体" w:hAnsi="Times New Roman" w:cs="Times New Roman"/>
          <w:b/>
          <w:sz w:val="32"/>
          <w:szCs w:val="32"/>
        </w:rPr>
      </w:pPr>
      <w:r w:rsidRPr="00D8117B">
        <w:rPr>
          <w:rFonts w:ascii="方正仿宋简体" w:eastAsia="方正仿宋简体" w:hAnsi="Times New Roman" w:cs="Times New Roman" w:hint="eastAsia"/>
          <w:b/>
          <w:sz w:val="32"/>
          <w:szCs w:val="32"/>
        </w:rPr>
        <w:t>2.</w:t>
      </w:r>
      <w:r w:rsidR="00F24692" w:rsidRPr="00D8117B">
        <w:rPr>
          <w:rFonts w:ascii="方正仿宋简体" w:eastAsia="方正仿宋简体" w:hAnsi="Times New Roman" w:cs="Times New Roman"/>
          <w:b/>
          <w:sz w:val="32"/>
          <w:szCs w:val="32"/>
        </w:rPr>
        <w:t>支出说明</w:t>
      </w:r>
    </w:p>
    <w:p w:rsidR="00751FE1" w:rsidRPr="00D8117B" w:rsidRDefault="006509AF" w:rsidP="006509AF">
      <w:pPr>
        <w:ind w:firstLineChars="150" w:firstLine="480"/>
        <w:rPr>
          <w:rFonts w:ascii="方正仿宋简体" w:eastAsia="方正仿宋简体" w:hAnsi="Times New Roman" w:cs="Times New Roman"/>
          <w:sz w:val="32"/>
          <w:szCs w:val="32"/>
        </w:rPr>
      </w:pPr>
      <w:r w:rsidRPr="00D8117B">
        <w:rPr>
          <w:rFonts w:ascii="方正仿宋简体" w:eastAsia="方正仿宋简体" w:hAnsi="Times New Roman" w:cs="Times New Roman" w:hint="eastAsia"/>
          <w:sz w:val="32"/>
          <w:szCs w:val="32"/>
        </w:rPr>
        <w:t>部门</w:t>
      </w:r>
      <w:r w:rsidR="00F24692" w:rsidRPr="00D8117B">
        <w:rPr>
          <w:rFonts w:ascii="方正仿宋简体" w:eastAsia="方正仿宋简体" w:hAnsi="Times New Roman" w:cs="Times New Roman" w:hint="eastAsia"/>
          <w:sz w:val="32"/>
          <w:szCs w:val="32"/>
        </w:rPr>
        <w:t>预算</w:t>
      </w:r>
      <w:r w:rsidRPr="00D8117B">
        <w:rPr>
          <w:rFonts w:ascii="方正仿宋简体" w:eastAsia="方正仿宋简体" w:hAnsi="Times New Roman" w:cs="Times New Roman" w:hint="eastAsia"/>
          <w:sz w:val="32"/>
          <w:szCs w:val="32"/>
        </w:rPr>
        <w:t>收支</w:t>
      </w:r>
      <w:r w:rsidR="00F24692" w:rsidRPr="00D8117B">
        <w:rPr>
          <w:rFonts w:ascii="方正仿宋简体" w:eastAsia="方正仿宋简体" w:hAnsi="Times New Roman" w:cs="Times New Roman" w:hint="eastAsia"/>
          <w:sz w:val="32"/>
          <w:szCs w:val="32"/>
        </w:rPr>
        <w:t>总表支出栏、基本支出表、项目支出表按经济分类和支出功能分类科目编制，反映部门预算中支出预算的总体情况。</w:t>
      </w:r>
      <w:r w:rsidR="000A6B33">
        <w:rPr>
          <w:rFonts w:ascii="方正仿宋简体" w:eastAsia="方正仿宋简体" w:hAnsi="Times New Roman" w:cs="Times New Roman" w:hint="eastAsia"/>
          <w:sz w:val="32"/>
          <w:szCs w:val="32"/>
        </w:rPr>
        <w:t>2018</w:t>
      </w:r>
      <w:r w:rsidR="00F24692" w:rsidRPr="00D8117B">
        <w:rPr>
          <w:rFonts w:ascii="方正仿宋简体" w:eastAsia="方正仿宋简体" w:hAnsi="Times New Roman" w:cs="Times New Roman" w:hint="eastAsia"/>
          <w:sz w:val="32"/>
          <w:szCs w:val="32"/>
        </w:rPr>
        <w:t>年部门支出预算为</w:t>
      </w:r>
      <w:r w:rsidR="00AF2CB4" w:rsidRPr="003C50C0">
        <w:rPr>
          <w:rFonts w:ascii="方正仿宋简体" w:eastAsia="方正仿宋简体" w:hAnsi="Times New Roman" w:cs="Times New Roman"/>
          <w:color w:val="000000" w:themeColor="text1"/>
          <w:sz w:val="32"/>
          <w:szCs w:val="32"/>
        </w:rPr>
        <w:t>820.1</w:t>
      </w:r>
      <w:r w:rsidR="00F24692" w:rsidRPr="003C50C0">
        <w:rPr>
          <w:rFonts w:ascii="方正仿宋简体" w:eastAsia="方正仿宋简体" w:hAnsi="Times New Roman" w:cs="Times New Roman" w:hint="eastAsia"/>
          <w:color w:val="000000" w:themeColor="text1"/>
          <w:sz w:val="32"/>
          <w:szCs w:val="32"/>
        </w:rPr>
        <w:t>万元，其中基本支出</w:t>
      </w:r>
      <w:r w:rsidR="0025126D" w:rsidRPr="003C50C0">
        <w:rPr>
          <w:rFonts w:ascii="方正仿宋简体" w:eastAsia="方正仿宋简体" w:hAnsi="Times New Roman" w:cs="Times New Roman" w:hint="eastAsia"/>
          <w:color w:val="000000" w:themeColor="text1"/>
          <w:sz w:val="32"/>
          <w:szCs w:val="32"/>
        </w:rPr>
        <w:t>643.51</w:t>
      </w:r>
      <w:r w:rsidR="00F24692" w:rsidRPr="003C50C0">
        <w:rPr>
          <w:rFonts w:ascii="方正仿宋简体" w:eastAsia="方正仿宋简体" w:hAnsi="Times New Roman" w:cs="Times New Roman" w:hint="eastAsia"/>
          <w:color w:val="000000" w:themeColor="text1"/>
          <w:sz w:val="32"/>
          <w:szCs w:val="32"/>
        </w:rPr>
        <w:t>万元，包括人员经费</w:t>
      </w:r>
      <w:r w:rsidR="000D48F5" w:rsidRPr="003C50C0">
        <w:rPr>
          <w:rFonts w:ascii="方正仿宋简体" w:eastAsia="方正仿宋简体" w:hAnsi="Times New Roman" w:cs="Times New Roman"/>
          <w:color w:val="000000" w:themeColor="text1"/>
          <w:sz w:val="32"/>
          <w:szCs w:val="32"/>
        </w:rPr>
        <w:t>495.83</w:t>
      </w:r>
      <w:r w:rsidR="00F24692" w:rsidRPr="003C50C0">
        <w:rPr>
          <w:rFonts w:ascii="方正仿宋简体" w:eastAsia="方正仿宋简体" w:hAnsi="Times New Roman" w:cs="Times New Roman" w:hint="eastAsia"/>
          <w:color w:val="000000" w:themeColor="text1"/>
          <w:sz w:val="32"/>
          <w:szCs w:val="32"/>
        </w:rPr>
        <w:t>万元和日常公用经费</w:t>
      </w:r>
      <w:r w:rsidR="000D48F5" w:rsidRPr="003C50C0">
        <w:rPr>
          <w:rFonts w:ascii="方正仿宋简体" w:eastAsia="方正仿宋简体" w:hAnsi="Times New Roman" w:cs="Times New Roman"/>
          <w:color w:val="000000" w:themeColor="text1"/>
          <w:sz w:val="32"/>
          <w:szCs w:val="32"/>
        </w:rPr>
        <w:t>147.68</w:t>
      </w:r>
      <w:r w:rsidR="00F24692" w:rsidRPr="003C50C0">
        <w:rPr>
          <w:rFonts w:ascii="方正仿宋简体" w:eastAsia="方正仿宋简体" w:hAnsi="Times New Roman" w:cs="Times New Roman" w:hint="eastAsia"/>
          <w:color w:val="000000" w:themeColor="text1"/>
          <w:sz w:val="32"/>
          <w:szCs w:val="32"/>
        </w:rPr>
        <w:t>万元；项目支出</w:t>
      </w:r>
      <w:r w:rsidR="000D48F5" w:rsidRPr="003C50C0">
        <w:rPr>
          <w:rFonts w:ascii="方正仿宋简体" w:eastAsia="方正仿宋简体" w:hAnsi="Times New Roman" w:cs="Times New Roman"/>
          <w:color w:val="000000" w:themeColor="text1"/>
          <w:sz w:val="32"/>
          <w:szCs w:val="32"/>
        </w:rPr>
        <w:t>161.7</w:t>
      </w:r>
      <w:r w:rsidR="00F24692" w:rsidRPr="003C50C0">
        <w:rPr>
          <w:rFonts w:ascii="方正仿宋简体" w:eastAsia="方正仿宋简体" w:hAnsi="Times New Roman" w:cs="Times New Roman" w:hint="eastAsia"/>
          <w:color w:val="000000" w:themeColor="text1"/>
          <w:sz w:val="32"/>
          <w:szCs w:val="32"/>
        </w:rPr>
        <w:t>万元，全部为本级支出。</w:t>
      </w:r>
    </w:p>
    <w:p w:rsidR="00751FE1" w:rsidRPr="00E12520" w:rsidRDefault="00D8117B" w:rsidP="00D8117B">
      <w:pPr>
        <w:ind w:left="640"/>
        <w:rPr>
          <w:rFonts w:ascii="方正仿宋简体" w:eastAsia="方正仿宋简体" w:hAnsi="Times New Roman" w:cs="Times New Roman"/>
          <w:b/>
          <w:color w:val="000000" w:themeColor="text1"/>
          <w:sz w:val="32"/>
          <w:szCs w:val="32"/>
        </w:rPr>
      </w:pPr>
      <w:r w:rsidRPr="00E12520">
        <w:rPr>
          <w:rFonts w:ascii="方正仿宋简体" w:eastAsia="方正仿宋简体" w:hAnsi="Times New Roman" w:cs="Times New Roman" w:hint="eastAsia"/>
          <w:b/>
          <w:color w:val="000000" w:themeColor="text1"/>
          <w:sz w:val="32"/>
          <w:szCs w:val="32"/>
        </w:rPr>
        <w:t>3.</w:t>
      </w:r>
      <w:r w:rsidR="00F24692" w:rsidRPr="00E12520">
        <w:rPr>
          <w:rFonts w:ascii="方正仿宋简体" w:eastAsia="方正仿宋简体" w:hAnsi="Times New Roman" w:cs="Times New Roman"/>
          <w:b/>
          <w:color w:val="000000" w:themeColor="text1"/>
          <w:sz w:val="32"/>
          <w:szCs w:val="32"/>
        </w:rPr>
        <w:t>比上年增减情况</w:t>
      </w:r>
    </w:p>
    <w:p w:rsidR="00751FE1" w:rsidRPr="00D8117B" w:rsidRDefault="000A6B33" w:rsidP="000A6B33">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2018</w:t>
      </w:r>
      <w:r w:rsidR="00F24692" w:rsidRPr="00D8117B">
        <w:rPr>
          <w:rFonts w:ascii="方正仿宋简体" w:eastAsia="方正仿宋简体" w:hAnsi="Times New Roman" w:cs="Times New Roman" w:hint="eastAsia"/>
          <w:sz w:val="32"/>
          <w:szCs w:val="32"/>
        </w:rPr>
        <w:t>年部门预算较</w:t>
      </w:r>
      <w:r>
        <w:rPr>
          <w:rFonts w:ascii="方正仿宋简体" w:eastAsia="方正仿宋简体" w:hAnsi="Times New Roman" w:cs="Times New Roman" w:hint="eastAsia"/>
          <w:sz w:val="32"/>
          <w:szCs w:val="32"/>
        </w:rPr>
        <w:t>2017</w:t>
      </w:r>
      <w:r w:rsidR="00F24692" w:rsidRPr="00D8117B">
        <w:rPr>
          <w:rFonts w:ascii="方正仿宋简体" w:eastAsia="方正仿宋简体" w:hAnsi="Times New Roman" w:cs="Times New Roman" w:hint="eastAsia"/>
          <w:sz w:val="32"/>
          <w:szCs w:val="32"/>
        </w:rPr>
        <w:t>年增长</w:t>
      </w:r>
      <w:r w:rsidR="00E12520" w:rsidRPr="00C54ACD">
        <w:rPr>
          <w:rFonts w:ascii="方正仿宋简体" w:eastAsia="方正仿宋简体" w:hAnsi="Times New Roman" w:cs="Times New Roman"/>
          <w:color w:val="000000" w:themeColor="text1"/>
          <w:sz w:val="32"/>
          <w:szCs w:val="32"/>
        </w:rPr>
        <w:t>14.92</w:t>
      </w:r>
      <w:r w:rsidR="00F24692" w:rsidRPr="00C54ACD">
        <w:rPr>
          <w:rFonts w:ascii="方正仿宋简体" w:eastAsia="方正仿宋简体" w:hAnsi="Times New Roman" w:cs="Times New Roman" w:hint="eastAsia"/>
          <w:color w:val="000000" w:themeColor="text1"/>
          <w:sz w:val="32"/>
          <w:szCs w:val="32"/>
        </w:rPr>
        <w:t>万元，其中：基本支出增长</w:t>
      </w:r>
      <w:r w:rsidR="00C54ACD" w:rsidRPr="00C54ACD">
        <w:rPr>
          <w:rFonts w:ascii="方正仿宋简体" w:eastAsia="方正仿宋简体" w:hAnsi="Times New Roman" w:cs="Times New Roman"/>
          <w:color w:val="000000" w:themeColor="text1"/>
          <w:sz w:val="32"/>
          <w:szCs w:val="32"/>
        </w:rPr>
        <w:t>69.88</w:t>
      </w:r>
      <w:r w:rsidR="00F24692" w:rsidRPr="00C54ACD">
        <w:rPr>
          <w:rFonts w:ascii="方正仿宋简体" w:eastAsia="方正仿宋简体" w:hAnsi="Times New Roman" w:cs="Times New Roman" w:hint="eastAsia"/>
          <w:color w:val="000000" w:themeColor="text1"/>
          <w:sz w:val="32"/>
          <w:szCs w:val="32"/>
        </w:rPr>
        <w:t>万元，主要是</w:t>
      </w:r>
      <w:r w:rsidR="00F24692" w:rsidRPr="00D8117B">
        <w:rPr>
          <w:rFonts w:ascii="方正仿宋简体" w:eastAsia="方正仿宋简体" w:hAnsi="Times New Roman" w:cs="Times New Roman" w:hint="eastAsia"/>
          <w:sz w:val="32"/>
          <w:szCs w:val="32"/>
        </w:rPr>
        <w:t>增加人员经费；项目支出</w:t>
      </w:r>
      <w:r w:rsidR="00C54ACD">
        <w:rPr>
          <w:rFonts w:ascii="方正仿宋简体" w:eastAsia="方正仿宋简体" w:hAnsi="Times New Roman" w:cs="Times New Roman" w:hint="eastAsia"/>
          <w:sz w:val="32"/>
          <w:szCs w:val="32"/>
        </w:rPr>
        <w:t>减少69.85</w:t>
      </w:r>
      <w:r w:rsidR="00F24692" w:rsidRPr="00D8117B">
        <w:rPr>
          <w:rFonts w:ascii="方正仿宋简体" w:eastAsia="方正仿宋简体" w:hAnsi="Times New Roman" w:cs="Times New Roman" w:hint="eastAsia"/>
          <w:sz w:val="32"/>
          <w:szCs w:val="32"/>
        </w:rPr>
        <w:t>万元。</w:t>
      </w:r>
    </w:p>
    <w:p w:rsidR="00346B63" w:rsidRDefault="00F24692" w:rsidP="00346B63">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751FE1" w:rsidRPr="00346B63" w:rsidRDefault="00F24692" w:rsidP="00346B63">
      <w:pPr>
        <w:ind w:firstLine="640"/>
        <w:rPr>
          <w:rFonts w:ascii="黑体" w:eastAsia="黑体" w:hAnsi="黑体" w:cs="Times New Roman"/>
          <w:sz w:val="32"/>
          <w:szCs w:val="32"/>
        </w:rPr>
      </w:pPr>
      <w:r w:rsidRPr="00346B63">
        <w:rPr>
          <w:rFonts w:ascii="方正仿宋简体" w:eastAsia="方正仿宋简体" w:hAnsi="Times New Roman" w:cs="Times New Roman" w:hint="eastAsia"/>
          <w:sz w:val="32"/>
          <w:szCs w:val="32"/>
        </w:rPr>
        <w:t>机关运行经费共计安排</w:t>
      </w:r>
      <w:r w:rsidR="00574ABB" w:rsidRPr="003C50C0">
        <w:rPr>
          <w:rFonts w:ascii="方正仿宋简体" w:eastAsia="方正仿宋简体" w:hAnsi="Times New Roman" w:cs="Times New Roman"/>
          <w:color w:val="000000" w:themeColor="text1"/>
          <w:sz w:val="32"/>
          <w:szCs w:val="32"/>
        </w:rPr>
        <w:t>157.68</w:t>
      </w:r>
      <w:r w:rsidRPr="003C50C0">
        <w:rPr>
          <w:rFonts w:ascii="方正仿宋简体" w:eastAsia="方正仿宋简体" w:hAnsi="Times New Roman" w:cs="Times New Roman" w:hint="eastAsia"/>
          <w:color w:val="000000" w:themeColor="text1"/>
          <w:sz w:val="32"/>
          <w:szCs w:val="32"/>
        </w:rPr>
        <w:t>万元</w:t>
      </w:r>
      <w:r w:rsidRPr="00346B63">
        <w:rPr>
          <w:rFonts w:ascii="方正仿宋简体" w:eastAsia="方正仿宋简体" w:hAnsi="Times New Roman" w:cs="Times New Roman" w:hint="eastAsia"/>
          <w:sz w:val="32"/>
          <w:szCs w:val="32"/>
        </w:rPr>
        <w:t>，主要用于保证机关正常运转的办公及印刷费、邮电费、差</w:t>
      </w:r>
      <w:r w:rsidRPr="00346B63">
        <w:rPr>
          <w:rFonts w:ascii="方正仿宋简体" w:eastAsia="方正仿宋简体" w:hAnsi="Times New Roman" w:cs="Times New Roman" w:hint="eastAsia"/>
          <w:sz w:val="32"/>
          <w:szCs w:val="32"/>
        </w:rPr>
        <w:lastRenderedPageBreak/>
        <w:t>旅费、会议费、福利费、专用材料及一般设备购置费、办公用房水电费、办公用房取暖费、日常维修费、办公楼物业管理费、公务车运行维护费等支出。</w:t>
      </w:r>
    </w:p>
    <w:p w:rsidR="00346B63" w:rsidRDefault="00F24692" w:rsidP="00346B63">
      <w:pPr>
        <w:ind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751FE1" w:rsidRPr="00346B63" w:rsidRDefault="000A6B33" w:rsidP="00346B63">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2018</w:t>
      </w:r>
      <w:r w:rsidR="00F24692" w:rsidRPr="00346B63">
        <w:rPr>
          <w:rFonts w:ascii="方正仿宋简体" w:eastAsia="方正仿宋简体" w:hAnsi="Times New Roman" w:cs="Times New Roman" w:hint="eastAsia"/>
          <w:sz w:val="32"/>
          <w:szCs w:val="32"/>
        </w:rPr>
        <w:t>年，财政拨款“三公</w:t>
      </w:r>
      <w:r w:rsidR="00F24692" w:rsidRPr="003C50C0">
        <w:rPr>
          <w:rFonts w:ascii="方正仿宋简体" w:eastAsia="方正仿宋简体" w:hAnsi="Times New Roman" w:cs="Times New Roman" w:hint="eastAsia"/>
          <w:color w:val="000000" w:themeColor="text1"/>
          <w:sz w:val="32"/>
          <w:szCs w:val="32"/>
        </w:rPr>
        <w:t>”经费预算安排</w:t>
      </w:r>
      <w:r w:rsidR="00574ABB" w:rsidRPr="003C50C0">
        <w:rPr>
          <w:rFonts w:ascii="方正仿宋简体" w:eastAsia="方正仿宋简体" w:hAnsi="Times New Roman" w:cs="Times New Roman"/>
          <w:color w:val="000000" w:themeColor="text1"/>
          <w:sz w:val="32"/>
          <w:szCs w:val="32"/>
        </w:rPr>
        <w:t>30.3</w:t>
      </w:r>
      <w:r w:rsidR="00F24692" w:rsidRPr="003C50C0">
        <w:rPr>
          <w:rFonts w:ascii="方正仿宋简体" w:eastAsia="方正仿宋简体" w:hAnsi="Times New Roman" w:cs="Times New Roman" w:hint="eastAsia"/>
          <w:color w:val="000000" w:themeColor="text1"/>
          <w:sz w:val="32"/>
          <w:szCs w:val="32"/>
        </w:rPr>
        <w:t>万元，其中：因公出国（境）费</w:t>
      </w:r>
      <w:r w:rsidR="00882773" w:rsidRPr="003C50C0">
        <w:rPr>
          <w:rFonts w:ascii="方正仿宋简体" w:eastAsia="方正仿宋简体" w:hAnsi="Times New Roman" w:cs="Times New Roman" w:hint="eastAsia"/>
          <w:color w:val="000000" w:themeColor="text1"/>
          <w:sz w:val="32"/>
          <w:szCs w:val="32"/>
        </w:rPr>
        <w:t>0</w:t>
      </w:r>
      <w:r w:rsidR="00F24692" w:rsidRPr="003C50C0">
        <w:rPr>
          <w:rFonts w:ascii="方正仿宋简体" w:eastAsia="方正仿宋简体" w:hAnsi="Times New Roman" w:cs="Times New Roman" w:hint="eastAsia"/>
          <w:color w:val="000000" w:themeColor="text1"/>
          <w:sz w:val="32"/>
          <w:szCs w:val="32"/>
        </w:rPr>
        <w:t>万元；公务用车购置及运维费</w:t>
      </w:r>
      <w:r w:rsidR="00574ABB" w:rsidRPr="003C50C0">
        <w:rPr>
          <w:rFonts w:ascii="方正仿宋简体" w:eastAsia="方正仿宋简体" w:hAnsi="Times New Roman" w:cs="Times New Roman"/>
          <w:color w:val="000000" w:themeColor="text1"/>
          <w:sz w:val="32"/>
          <w:szCs w:val="32"/>
        </w:rPr>
        <w:t>27.9</w:t>
      </w:r>
      <w:r w:rsidR="00F24692" w:rsidRPr="003C50C0">
        <w:rPr>
          <w:rFonts w:ascii="方正仿宋简体" w:eastAsia="方正仿宋简体" w:hAnsi="Times New Roman" w:cs="Times New Roman" w:hint="eastAsia"/>
          <w:color w:val="000000" w:themeColor="text1"/>
          <w:sz w:val="32"/>
          <w:szCs w:val="32"/>
        </w:rPr>
        <w:t>万元（其中：公务用车运行费</w:t>
      </w:r>
      <w:r w:rsidR="00574ABB" w:rsidRPr="003C50C0">
        <w:rPr>
          <w:rFonts w:ascii="方正仿宋简体" w:eastAsia="方正仿宋简体" w:hAnsi="Times New Roman" w:cs="Times New Roman"/>
          <w:color w:val="000000" w:themeColor="text1"/>
          <w:sz w:val="32"/>
          <w:szCs w:val="32"/>
        </w:rPr>
        <w:t>27.9</w:t>
      </w:r>
      <w:r w:rsidR="00F24692" w:rsidRPr="003C50C0">
        <w:rPr>
          <w:rFonts w:ascii="方正仿宋简体" w:eastAsia="方正仿宋简体" w:hAnsi="Times New Roman" w:cs="Times New Roman" w:hint="eastAsia"/>
          <w:color w:val="000000" w:themeColor="text1"/>
          <w:sz w:val="32"/>
          <w:szCs w:val="32"/>
        </w:rPr>
        <w:t>万元)；公务接待费</w:t>
      </w:r>
      <w:r w:rsidR="00574ABB" w:rsidRPr="003C50C0">
        <w:rPr>
          <w:rFonts w:ascii="方正仿宋简体" w:eastAsia="方正仿宋简体" w:hAnsi="Times New Roman" w:cs="Times New Roman"/>
          <w:color w:val="000000" w:themeColor="text1"/>
          <w:sz w:val="32"/>
          <w:szCs w:val="32"/>
        </w:rPr>
        <w:t>2.4</w:t>
      </w:r>
      <w:r w:rsidR="00F24692" w:rsidRPr="003C50C0">
        <w:rPr>
          <w:rFonts w:ascii="方正仿宋简体" w:eastAsia="方正仿宋简体" w:hAnsi="Times New Roman" w:cs="Times New Roman" w:hint="eastAsia"/>
          <w:color w:val="000000" w:themeColor="text1"/>
          <w:sz w:val="32"/>
          <w:szCs w:val="32"/>
        </w:rPr>
        <w:t>万元。“三公</w:t>
      </w:r>
      <w:r w:rsidR="00F24692" w:rsidRPr="00346B63">
        <w:rPr>
          <w:rFonts w:ascii="方正仿宋简体" w:eastAsia="方正仿宋简体" w:hAnsi="Times New Roman" w:cs="Times New Roman" w:hint="eastAsia"/>
          <w:sz w:val="32"/>
          <w:szCs w:val="32"/>
        </w:rPr>
        <w:t>”经费</w:t>
      </w:r>
      <w:r w:rsidR="00882773" w:rsidRPr="00346B63">
        <w:rPr>
          <w:rFonts w:ascii="方正仿宋简体" w:eastAsia="方正仿宋简体" w:hAnsi="Times New Roman" w:cs="Times New Roman" w:hint="eastAsia"/>
          <w:sz w:val="32"/>
          <w:szCs w:val="32"/>
        </w:rPr>
        <w:t>较上年下降</w:t>
      </w:r>
      <w:r w:rsidR="00F4466B" w:rsidRPr="00F4466B">
        <w:rPr>
          <w:rFonts w:ascii="方正仿宋简体" w:eastAsia="方正仿宋简体" w:hAnsi="Times New Roman" w:cs="Times New Roman"/>
          <w:color w:val="000000" w:themeColor="text1"/>
          <w:sz w:val="32"/>
          <w:szCs w:val="32"/>
        </w:rPr>
        <w:t>9</w:t>
      </w:r>
      <w:r w:rsidR="00882773" w:rsidRPr="00346B63">
        <w:rPr>
          <w:rFonts w:ascii="方正仿宋简体" w:eastAsia="方正仿宋简体" w:hAnsi="Times New Roman" w:cs="Times New Roman" w:hint="eastAsia"/>
          <w:sz w:val="32"/>
          <w:szCs w:val="32"/>
        </w:rPr>
        <w:t>%，主要原因是今年对“三公”经费等一般性支出进行了压减。</w:t>
      </w:r>
    </w:p>
    <w:p w:rsidR="00751FE1" w:rsidRDefault="00F24692" w:rsidP="00D8117B">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E9721B" w:rsidRPr="00A62F98" w:rsidTr="0073579F">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E9721B" w:rsidRPr="00A62F98" w:rsidRDefault="00E9721B" w:rsidP="0073579F">
            <w:pPr>
              <w:spacing w:line="300" w:lineRule="exact"/>
              <w:jc w:val="left"/>
              <w:rPr>
                <w:rFonts w:ascii="方正小标宋_GBK" w:eastAsia="方正小标宋_GBK"/>
                <w:sz w:val="24"/>
              </w:rPr>
            </w:pPr>
            <w:bookmarkStart w:id="0" w:name="_Toc471398463"/>
            <w:r w:rsidRPr="00A62F98">
              <w:rPr>
                <w:rFonts w:ascii="方正小标宋_GBK" w:eastAsia="方正小标宋_GBK"/>
                <w:sz w:val="24"/>
              </w:rPr>
              <w:t>161</w:t>
            </w:r>
            <w:r w:rsidRPr="00A62F98">
              <w:rPr>
                <w:rFonts w:ascii="方正小标宋_GBK" w:eastAsia="方正小标宋_GBK" w:hint="eastAsia"/>
                <w:sz w:val="24"/>
              </w:rPr>
              <w:t>秦皇岛北戴河新区人民法院</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E9721B" w:rsidRPr="00A62F98" w:rsidRDefault="00E9721B" w:rsidP="0073579F">
            <w:pPr>
              <w:spacing w:line="300" w:lineRule="exact"/>
              <w:jc w:val="right"/>
              <w:rPr>
                <w:rFonts w:ascii="方正书宋_GBK" w:eastAsia="方正书宋_GBK"/>
                <w:sz w:val="24"/>
              </w:rPr>
            </w:pPr>
            <w:r w:rsidRPr="00A62F98">
              <w:rPr>
                <w:rFonts w:ascii="方正书宋_GBK" w:eastAsia="方正书宋_GBK" w:hint="eastAsia"/>
                <w:sz w:val="24"/>
              </w:rPr>
              <w:t>单位：万元</w:t>
            </w:r>
          </w:p>
        </w:tc>
      </w:tr>
      <w:tr w:rsidR="00E9721B" w:rsidRPr="00A62F98" w:rsidTr="0073579F">
        <w:trPr>
          <w:trHeight w:val="227"/>
          <w:tblHeader/>
          <w:jc w:val="center"/>
        </w:trPr>
        <w:tc>
          <w:tcPr>
            <w:tcW w:w="2341" w:type="dxa"/>
            <w:vMerge w:val="restart"/>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职责活动</w:t>
            </w:r>
          </w:p>
        </w:tc>
        <w:tc>
          <w:tcPr>
            <w:tcW w:w="1276" w:type="dxa"/>
            <w:vMerge w:val="restart"/>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年度预算数</w:t>
            </w:r>
          </w:p>
        </w:tc>
        <w:tc>
          <w:tcPr>
            <w:tcW w:w="2976" w:type="dxa"/>
            <w:vMerge w:val="restart"/>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内容描述</w:t>
            </w:r>
          </w:p>
        </w:tc>
        <w:tc>
          <w:tcPr>
            <w:tcW w:w="2976" w:type="dxa"/>
            <w:vMerge w:val="restart"/>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绩效目标</w:t>
            </w:r>
          </w:p>
        </w:tc>
        <w:tc>
          <w:tcPr>
            <w:tcW w:w="1417" w:type="dxa"/>
            <w:vMerge w:val="restart"/>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绩效指标</w:t>
            </w:r>
          </w:p>
        </w:tc>
        <w:tc>
          <w:tcPr>
            <w:tcW w:w="2948" w:type="dxa"/>
            <w:gridSpan w:val="4"/>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评价标准</w:t>
            </w:r>
          </w:p>
        </w:tc>
      </w:tr>
      <w:tr w:rsidR="00E9721B" w:rsidRPr="00A62F98" w:rsidTr="0073579F">
        <w:trPr>
          <w:trHeight w:val="227"/>
          <w:tblHeader/>
          <w:jc w:val="center"/>
        </w:trPr>
        <w:tc>
          <w:tcPr>
            <w:tcW w:w="2341" w:type="dxa"/>
            <w:vMerge/>
            <w:shd w:val="clear" w:color="auto" w:fill="auto"/>
            <w:vAlign w:val="center"/>
          </w:tcPr>
          <w:p w:rsidR="00E9721B" w:rsidRPr="00A62F98" w:rsidRDefault="00E9721B" w:rsidP="0073579F">
            <w:pPr>
              <w:spacing w:line="300" w:lineRule="exact"/>
              <w:jc w:val="left"/>
              <w:outlineLvl w:val="0"/>
            </w:pPr>
          </w:p>
        </w:tc>
        <w:tc>
          <w:tcPr>
            <w:tcW w:w="1276" w:type="dxa"/>
            <w:vMerge/>
            <w:shd w:val="clear" w:color="auto" w:fill="auto"/>
            <w:vAlign w:val="center"/>
          </w:tcPr>
          <w:p w:rsidR="00E9721B" w:rsidRPr="00A62F98" w:rsidRDefault="00E9721B" w:rsidP="0073579F">
            <w:pPr>
              <w:spacing w:line="300" w:lineRule="exact"/>
              <w:jc w:val="left"/>
              <w:outlineLvl w:val="0"/>
            </w:pPr>
          </w:p>
        </w:tc>
        <w:tc>
          <w:tcPr>
            <w:tcW w:w="2976" w:type="dxa"/>
            <w:vMerge/>
            <w:shd w:val="clear" w:color="auto" w:fill="auto"/>
            <w:vAlign w:val="center"/>
          </w:tcPr>
          <w:p w:rsidR="00E9721B" w:rsidRPr="00A62F98" w:rsidRDefault="00E9721B" w:rsidP="0073579F">
            <w:pPr>
              <w:spacing w:line="300" w:lineRule="exact"/>
              <w:jc w:val="left"/>
              <w:outlineLvl w:val="0"/>
            </w:pPr>
          </w:p>
        </w:tc>
        <w:tc>
          <w:tcPr>
            <w:tcW w:w="2976" w:type="dxa"/>
            <w:vMerge/>
            <w:shd w:val="clear" w:color="auto" w:fill="auto"/>
            <w:vAlign w:val="center"/>
          </w:tcPr>
          <w:p w:rsidR="00E9721B" w:rsidRPr="00A62F98" w:rsidRDefault="00E9721B" w:rsidP="0073579F">
            <w:pPr>
              <w:spacing w:line="300" w:lineRule="exact"/>
              <w:jc w:val="left"/>
              <w:outlineLvl w:val="0"/>
            </w:pPr>
          </w:p>
        </w:tc>
        <w:tc>
          <w:tcPr>
            <w:tcW w:w="1417" w:type="dxa"/>
            <w:vMerge/>
            <w:shd w:val="clear" w:color="auto" w:fill="auto"/>
            <w:vAlign w:val="center"/>
          </w:tcPr>
          <w:p w:rsidR="00E9721B" w:rsidRPr="00A62F98" w:rsidRDefault="00E9721B" w:rsidP="0073579F">
            <w:pPr>
              <w:spacing w:line="300" w:lineRule="exact"/>
              <w:jc w:val="left"/>
              <w:outlineLvl w:val="0"/>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优</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良</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中</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b/>
              </w:rPr>
            </w:pPr>
            <w:r w:rsidRPr="00A62F98">
              <w:rPr>
                <w:rFonts w:ascii="方正书宋_GBK" w:eastAsia="方正书宋_GBK" w:hint="eastAsia"/>
                <w:b/>
              </w:rPr>
              <w:t>差</w:t>
            </w: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综合办公室（纪检监察室、政治处）</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rPr>
              <w:t>159.30</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负责协调本院各部门工作；承办各种会议事务；起草综合性文件、报告等文稿；负责与人大代表、政协委员联络工作；负责文秘、信息、保密、资料、档案管理和办公自动化管理；负责司法技术辅助工作；负责计财装备、法律政策研究工作；负责干部队伍管理、机关党的</w:t>
            </w:r>
            <w:r w:rsidRPr="00A62F98">
              <w:rPr>
                <w:rFonts w:ascii="方正书宋_GBK" w:eastAsia="方正书宋_GBK" w:hint="eastAsia"/>
              </w:rPr>
              <w:lastRenderedPageBreak/>
              <w:t>建设、新闻宣传、教育培训、纪检监察等工作；承办院党组决定的有关事项。</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lastRenderedPageBreak/>
              <w:t>发挥保障、服务职能；积极推进各项综合工作；确保法院各项工作顺利开展。</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lastRenderedPageBreak/>
              <w:t xml:space="preserve">　　综合事务管理</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rPr>
              <w:t>68.50</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确定全院阶段性工作重点和措施，部署法院工作任务，负责文秘工作，机要通信、会议组织。工作协调。督导催办、文件处理、档案管理、保密工作。人民陪审员工作。</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为审判执行工作开展提供有力的审务保障</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各项综合业务管理完成率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100%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&lt;90%</w:t>
            </w:r>
          </w:p>
        </w:tc>
      </w:tr>
      <w:tr w:rsidR="00E9721B" w:rsidRPr="00A62F98" w:rsidTr="0073579F">
        <w:trPr>
          <w:trHeight w:val="227"/>
          <w:jc w:val="center"/>
        </w:trPr>
        <w:tc>
          <w:tcPr>
            <w:tcW w:w="2341" w:type="dxa"/>
            <w:vMerge w:val="restart"/>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 xml:space="preserve">　　综合业务管理</w:t>
            </w:r>
          </w:p>
        </w:tc>
        <w:tc>
          <w:tcPr>
            <w:tcW w:w="12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rPr>
              <w:t>90.80</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干部队伍管理；机关党的建设；新闻宣传；教育培训；纪检监察，承办党组决定有关事项。全院的财务管理；。后勤保障；信息化装备的建设；管理和维护；信息化建设的技术保障。</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为审判执行工作提供有力的组织保障</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财务后勤保障完成率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100%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&lt;90%</w:t>
            </w:r>
          </w:p>
        </w:tc>
      </w:tr>
      <w:tr w:rsidR="00E9721B" w:rsidRPr="00A62F98" w:rsidTr="0073579F">
        <w:trPr>
          <w:trHeight w:val="1157"/>
          <w:jc w:val="center"/>
        </w:trPr>
        <w:tc>
          <w:tcPr>
            <w:tcW w:w="2341" w:type="dxa"/>
            <w:vMerge/>
            <w:shd w:val="clear" w:color="auto" w:fill="auto"/>
            <w:vAlign w:val="center"/>
          </w:tcPr>
          <w:p w:rsidR="00E9721B" w:rsidRPr="00A62F98" w:rsidRDefault="00E9721B" w:rsidP="0073579F">
            <w:pPr>
              <w:spacing w:line="300" w:lineRule="exact"/>
              <w:jc w:val="left"/>
              <w:rPr>
                <w:rFonts w:ascii="方正书宋_GBK" w:eastAsia="方正书宋_GBK"/>
                <w:b/>
              </w:rPr>
            </w:pPr>
          </w:p>
        </w:tc>
        <w:tc>
          <w:tcPr>
            <w:tcW w:w="12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各项组织人事工作完成率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100%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&lt;90%</w:t>
            </w: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立案庭（审判监督庭、执行局、法警大队）</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rPr>
              <w:t>18.00</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对本院依法受理的各类案件进行立案登记；办理诉前财产、证据保全；审查受理本院管辖的再审案件；负责指定管辖和移送管辖事项；负责接待各类申诉来访；负责本院受理案件的流程管理；负责审理本院院长依照审判监督程序提起再审、上级人民法院指令再审和</w:t>
            </w:r>
            <w:r w:rsidRPr="00A62F98">
              <w:rPr>
                <w:rFonts w:ascii="方正书宋_GBK" w:eastAsia="方正书宋_GBK" w:hint="eastAsia"/>
              </w:rPr>
              <w:lastRenderedPageBreak/>
              <w:t>人民检察院依法抗诉的刑事、民事、行政案件及各类申请再审案件；负责本院调查研究、司法统计、各类案件及法律文书质量的检查监督、评查管理工作，组织召开审判委员会；负责社会管理综合治理工作；依法办理发生法律效力的民事、行政案件和裁定的执行事项以及刑事案件判决和裁定中有关财产补发的执行事项；负责开庭值庭、提解押解刑事被告人、司法拘留、安全保卫、送达法律文书；协助上级法院执行死刑工作。</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lastRenderedPageBreak/>
              <w:t>便捷高效的开展立案登记工作；积极推进执行工作；不断强化案件流程管理；全面完成再审等案件的审理工作。</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r>
      <w:tr w:rsidR="00E9721B" w:rsidRPr="00A62F98" w:rsidTr="0073579F">
        <w:trPr>
          <w:trHeight w:val="227"/>
          <w:jc w:val="center"/>
        </w:trPr>
        <w:tc>
          <w:tcPr>
            <w:tcW w:w="2341" w:type="dxa"/>
            <w:vMerge w:val="restart"/>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lastRenderedPageBreak/>
              <w:t xml:space="preserve">　　立案工作</w:t>
            </w:r>
          </w:p>
        </w:tc>
        <w:tc>
          <w:tcPr>
            <w:tcW w:w="12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各类一审案件的审核登记，诉前财产和证据保全，再审案件的审查受理；来信来访工作</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圆满完成立案、诉前保全、信访和再审工作</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立案登记率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100%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99%</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98%</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&lt;98%</w:t>
            </w:r>
          </w:p>
        </w:tc>
      </w:tr>
      <w:tr w:rsidR="00E9721B" w:rsidRPr="00A62F98" w:rsidTr="0073579F">
        <w:trPr>
          <w:trHeight w:val="227"/>
          <w:jc w:val="center"/>
        </w:trPr>
        <w:tc>
          <w:tcPr>
            <w:tcW w:w="2341" w:type="dxa"/>
            <w:vMerge/>
            <w:shd w:val="clear" w:color="auto" w:fill="auto"/>
            <w:vAlign w:val="center"/>
          </w:tcPr>
          <w:p w:rsidR="00E9721B" w:rsidRPr="00A62F98" w:rsidRDefault="00E9721B" w:rsidP="0073579F">
            <w:pPr>
              <w:spacing w:line="300" w:lineRule="exact"/>
              <w:jc w:val="left"/>
              <w:rPr>
                <w:rFonts w:ascii="方正书宋_GBK" w:eastAsia="方正书宋_GBK"/>
                <w:b/>
              </w:rPr>
            </w:pPr>
          </w:p>
        </w:tc>
        <w:tc>
          <w:tcPr>
            <w:tcW w:w="12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诉前财产、证据保全率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70%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&lt;70%</w:t>
            </w:r>
          </w:p>
        </w:tc>
      </w:tr>
      <w:tr w:rsidR="00E9721B" w:rsidRPr="00A62F98" w:rsidTr="0073579F">
        <w:trPr>
          <w:trHeight w:val="227"/>
          <w:jc w:val="center"/>
        </w:trPr>
        <w:tc>
          <w:tcPr>
            <w:tcW w:w="2341" w:type="dxa"/>
            <w:vMerge/>
            <w:shd w:val="clear" w:color="auto" w:fill="auto"/>
            <w:vAlign w:val="center"/>
          </w:tcPr>
          <w:p w:rsidR="00E9721B" w:rsidRPr="00A62F98" w:rsidRDefault="00E9721B" w:rsidP="0073579F">
            <w:pPr>
              <w:spacing w:line="300" w:lineRule="exact"/>
              <w:jc w:val="left"/>
              <w:rPr>
                <w:rFonts w:ascii="方正书宋_GBK" w:eastAsia="方正书宋_GBK"/>
                <w:b/>
              </w:rPr>
            </w:pPr>
          </w:p>
        </w:tc>
        <w:tc>
          <w:tcPr>
            <w:tcW w:w="12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再审和信访工作完成率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&lt;80%</w:t>
            </w:r>
          </w:p>
        </w:tc>
      </w:tr>
      <w:tr w:rsidR="00E9721B" w:rsidRPr="00A62F98" w:rsidTr="0073579F">
        <w:trPr>
          <w:trHeight w:val="227"/>
          <w:jc w:val="center"/>
        </w:trPr>
        <w:tc>
          <w:tcPr>
            <w:tcW w:w="2341" w:type="dxa"/>
            <w:vMerge w:val="restart"/>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 xml:space="preserve">　　审判流程管理</w:t>
            </w:r>
          </w:p>
        </w:tc>
        <w:tc>
          <w:tcPr>
            <w:tcW w:w="12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本院受理案件的流程管理；司法公开、法律研究和司法统计。</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强化审判流程管理和司法公开；完善审判执行工作的内部和外部监督管理</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审判流程合规率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100%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&lt;80%</w:t>
            </w:r>
          </w:p>
        </w:tc>
      </w:tr>
      <w:tr w:rsidR="00E9721B" w:rsidRPr="00A62F98" w:rsidTr="0073579F">
        <w:trPr>
          <w:trHeight w:val="227"/>
          <w:jc w:val="center"/>
        </w:trPr>
        <w:tc>
          <w:tcPr>
            <w:tcW w:w="2341" w:type="dxa"/>
            <w:vMerge/>
            <w:shd w:val="clear" w:color="auto" w:fill="auto"/>
            <w:vAlign w:val="center"/>
          </w:tcPr>
          <w:p w:rsidR="00E9721B" w:rsidRPr="00A62F98" w:rsidRDefault="00E9721B" w:rsidP="0073579F">
            <w:pPr>
              <w:spacing w:line="300" w:lineRule="exact"/>
              <w:jc w:val="left"/>
              <w:rPr>
                <w:rFonts w:ascii="方正书宋_GBK" w:eastAsia="方正书宋_GBK"/>
                <w:b/>
              </w:rPr>
            </w:pPr>
          </w:p>
        </w:tc>
        <w:tc>
          <w:tcPr>
            <w:tcW w:w="12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案件信息合</w:t>
            </w:r>
            <w:r w:rsidRPr="00A62F98">
              <w:rPr>
                <w:rFonts w:ascii="方正书宋_GBK" w:eastAsia="方正书宋_GBK" w:hint="eastAsia"/>
              </w:rPr>
              <w:lastRenderedPageBreak/>
              <w:t>格率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lastRenderedPageBreak/>
              <w:t>≥</w:t>
            </w:r>
            <w:r w:rsidRPr="00A62F98">
              <w:rPr>
                <w:rFonts w:ascii="方正书宋_GBK" w:eastAsia="方正书宋_GBK"/>
              </w:rPr>
              <w:lastRenderedPageBreak/>
              <w:t>95%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lastRenderedPageBreak/>
              <w:t>≥</w:t>
            </w:r>
            <w:r w:rsidRPr="00A62F98">
              <w:rPr>
                <w:rFonts w:ascii="方正书宋_GBK" w:eastAsia="方正书宋_GBK"/>
              </w:rPr>
              <w:lastRenderedPageBreak/>
              <w:t>90%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lastRenderedPageBreak/>
              <w:t>≥</w:t>
            </w:r>
            <w:r w:rsidRPr="00A62F98">
              <w:rPr>
                <w:rFonts w:ascii="方正书宋_GBK" w:eastAsia="方正书宋_GBK"/>
              </w:rPr>
              <w:lastRenderedPageBreak/>
              <w:t>85%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lastRenderedPageBreak/>
              <w:t>&lt;85%</w:t>
            </w: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lastRenderedPageBreak/>
              <w:t xml:space="preserve">　　执行工作</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各类生效裁判文书的审查和执行</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有效的开展执行工作，维护当事人的权益</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执行案件结案率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70%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60%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&lt;60%</w:t>
            </w:r>
          </w:p>
        </w:tc>
      </w:tr>
      <w:tr w:rsidR="00E9721B" w:rsidRPr="00A62F98" w:rsidTr="0073579F">
        <w:trPr>
          <w:trHeight w:val="227"/>
          <w:jc w:val="center"/>
        </w:trPr>
        <w:tc>
          <w:tcPr>
            <w:tcW w:w="2341" w:type="dxa"/>
            <w:vMerge w:val="restart"/>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 xml:space="preserve">　　警务保障</w:t>
            </w:r>
          </w:p>
        </w:tc>
        <w:tc>
          <w:tcPr>
            <w:tcW w:w="12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rPr>
              <w:t>18.00</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为机关安全，刑庭、民庭开庭等司法活动提供警务保障，规范警用车辆的管理和维修</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确保机关安全和庭审、押解安全、提供车辆管理和维护保障</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机关安保事故率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100%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99%</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98%</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&lt;98%</w:t>
            </w:r>
          </w:p>
        </w:tc>
      </w:tr>
      <w:tr w:rsidR="00E9721B" w:rsidRPr="00A62F98" w:rsidTr="0073579F">
        <w:trPr>
          <w:trHeight w:val="227"/>
          <w:jc w:val="center"/>
        </w:trPr>
        <w:tc>
          <w:tcPr>
            <w:tcW w:w="2341" w:type="dxa"/>
            <w:vMerge/>
            <w:shd w:val="clear" w:color="auto" w:fill="auto"/>
            <w:vAlign w:val="center"/>
          </w:tcPr>
          <w:p w:rsidR="00E9721B" w:rsidRPr="00A62F98" w:rsidRDefault="00E9721B" w:rsidP="0073579F">
            <w:pPr>
              <w:spacing w:line="300" w:lineRule="exact"/>
              <w:jc w:val="left"/>
              <w:rPr>
                <w:rFonts w:ascii="方正书宋_GBK" w:eastAsia="方正书宋_GBK"/>
                <w:b/>
              </w:rPr>
            </w:pPr>
          </w:p>
        </w:tc>
        <w:tc>
          <w:tcPr>
            <w:tcW w:w="12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庭审、押解事故率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100%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99%</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98%</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&lt;98%</w:t>
            </w: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刑事审判庭</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依法审理由本院管辖处有期徒刑以下的一审普通刑事案件；负责审理成年人犯罪案件和失足青少年帮教转化工作，加强社会管理综合治理和刑事审判调研工作，配合开展缓刑人员回访和社会矫正工作。</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依法审理各类一审刑事案件；严惩刑事犯罪；积极推动平安新区建设。</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r>
      <w:tr w:rsidR="00E9721B" w:rsidRPr="00A62F98" w:rsidTr="0073579F">
        <w:trPr>
          <w:trHeight w:val="227"/>
          <w:jc w:val="center"/>
        </w:trPr>
        <w:tc>
          <w:tcPr>
            <w:tcW w:w="2341" w:type="dxa"/>
            <w:vMerge w:val="restart"/>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 xml:space="preserve">　　刑事审判</w:t>
            </w:r>
          </w:p>
        </w:tc>
        <w:tc>
          <w:tcPr>
            <w:tcW w:w="12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本院管辖的一审刑事案件的审理；配合开展缓刑人员回访和社会矫正工作。</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公正审理好刑事案件，打击犯罪、维护社会稳定</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结案率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90%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&lt;80%</w:t>
            </w:r>
          </w:p>
        </w:tc>
      </w:tr>
      <w:tr w:rsidR="00E9721B" w:rsidRPr="00A62F98" w:rsidTr="0073579F">
        <w:trPr>
          <w:trHeight w:val="227"/>
          <w:jc w:val="center"/>
        </w:trPr>
        <w:tc>
          <w:tcPr>
            <w:tcW w:w="2341" w:type="dxa"/>
            <w:vMerge/>
            <w:shd w:val="clear" w:color="auto" w:fill="auto"/>
            <w:vAlign w:val="center"/>
          </w:tcPr>
          <w:p w:rsidR="00E9721B" w:rsidRPr="00A62F98" w:rsidRDefault="00E9721B" w:rsidP="0073579F">
            <w:pPr>
              <w:spacing w:line="300" w:lineRule="exact"/>
              <w:jc w:val="left"/>
              <w:rPr>
                <w:rFonts w:ascii="方正书宋_GBK" w:eastAsia="方正书宋_GBK"/>
                <w:b/>
              </w:rPr>
            </w:pPr>
          </w:p>
        </w:tc>
        <w:tc>
          <w:tcPr>
            <w:tcW w:w="12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案件平均办理天数（天）</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40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45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50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&gt;50</w:t>
            </w: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民事审判庭（行政审判庭）</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负责审理本辖区管辖的财产所有权纠纷、婚姻家庭纠纷、民间借贷、各类赔偿案件；负责审理民商事合同纠纷、公司股东权益纠纷以及企业破产案件等；负责制式产权纠纷、劳动</w:t>
            </w:r>
            <w:r w:rsidRPr="00A62F98">
              <w:rPr>
                <w:rFonts w:ascii="方正书宋_GBK" w:eastAsia="方正书宋_GBK" w:hint="eastAsia"/>
              </w:rPr>
              <w:lastRenderedPageBreak/>
              <w:t>争议、商品房买卖纠纷等案件的审理。负责不服行政机关在本辖区所作的具体行政行为而提起诉讼的及市中院指定的一审行政案件的审判与和解；负责非诉行政执行案件立案的审查、执行工作。</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lastRenderedPageBreak/>
              <w:t>妥善审理各种一审民事、行政矛盾纠纷事件；维护社会稳定。</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r>
      <w:tr w:rsidR="00E9721B" w:rsidRPr="00A62F98" w:rsidTr="0073579F">
        <w:trPr>
          <w:trHeight w:val="227"/>
          <w:jc w:val="center"/>
        </w:trPr>
        <w:tc>
          <w:tcPr>
            <w:tcW w:w="2341" w:type="dxa"/>
            <w:vMerge w:val="restart"/>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lastRenderedPageBreak/>
              <w:t xml:space="preserve">　　民事、行政案件的审判</w:t>
            </w:r>
          </w:p>
        </w:tc>
        <w:tc>
          <w:tcPr>
            <w:tcW w:w="12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本院受理的一审民事、行政案件的审理及市中院指定的一审民事和行政案件的审理。</w:t>
            </w:r>
          </w:p>
        </w:tc>
        <w:tc>
          <w:tcPr>
            <w:tcW w:w="2976" w:type="dxa"/>
            <w:vMerge w:val="restart"/>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公正高效的审理好民商行政案件，化解社会矛盾</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结案率</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80%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75%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&lt;75%</w:t>
            </w:r>
          </w:p>
        </w:tc>
      </w:tr>
      <w:tr w:rsidR="00E9721B" w:rsidRPr="00A62F98" w:rsidTr="0073579F">
        <w:trPr>
          <w:trHeight w:val="227"/>
          <w:jc w:val="center"/>
        </w:trPr>
        <w:tc>
          <w:tcPr>
            <w:tcW w:w="2341" w:type="dxa"/>
            <w:vMerge/>
            <w:shd w:val="clear" w:color="auto" w:fill="auto"/>
            <w:vAlign w:val="center"/>
          </w:tcPr>
          <w:p w:rsidR="00E9721B" w:rsidRPr="00A62F98" w:rsidRDefault="00E9721B" w:rsidP="0073579F">
            <w:pPr>
              <w:spacing w:line="300" w:lineRule="exact"/>
              <w:jc w:val="left"/>
              <w:rPr>
                <w:rFonts w:ascii="方正书宋_GBK" w:eastAsia="方正书宋_GBK"/>
                <w:b/>
              </w:rPr>
            </w:pPr>
          </w:p>
        </w:tc>
        <w:tc>
          <w:tcPr>
            <w:tcW w:w="12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vMerge/>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案件平均办理天数（天）</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50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55</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hint="eastAsia"/>
              </w:rPr>
              <w:t>≤</w:t>
            </w:r>
            <w:r w:rsidRPr="00A62F98">
              <w:rPr>
                <w:rFonts w:ascii="方正书宋_GBK" w:eastAsia="方正书宋_GBK"/>
              </w:rPr>
              <w:t>60</w:t>
            </w: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r w:rsidRPr="00A62F98">
              <w:rPr>
                <w:rFonts w:ascii="方正书宋_GBK" w:eastAsia="方正书宋_GBK"/>
              </w:rPr>
              <w:t>&gt;60</w:t>
            </w: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提前通知</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上级专项资金提前通知</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上级专项资金提前通知</w:t>
            </w: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r>
      <w:tr w:rsidR="00E9721B" w:rsidRPr="00A62F98" w:rsidTr="0073579F">
        <w:trPr>
          <w:trHeight w:val="227"/>
          <w:jc w:val="center"/>
        </w:trPr>
        <w:tc>
          <w:tcPr>
            <w:tcW w:w="2341" w:type="dxa"/>
            <w:shd w:val="clear" w:color="auto" w:fill="auto"/>
            <w:vAlign w:val="center"/>
          </w:tcPr>
          <w:p w:rsidR="00E9721B" w:rsidRPr="00A62F98" w:rsidRDefault="00E9721B" w:rsidP="0073579F">
            <w:pPr>
              <w:spacing w:line="300" w:lineRule="exact"/>
              <w:jc w:val="left"/>
              <w:rPr>
                <w:rFonts w:ascii="方正书宋_GBK" w:eastAsia="方正书宋_GBK"/>
                <w:b/>
              </w:rPr>
            </w:pPr>
            <w:r w:rsidRPr="00A62F98">
              <w:rPr>
                <w:rFonts w:ascii="方正书宋_GBK" w:eastAsia="方正书宋_GBK" w:hint="eastAsia"/>
                <w:b/>
              </w:rPr>
              <w:t xml:space="preserve">　　提前通知</w:t>
            </w:r>
          </w:p>
        </w:tc>
        <w:tc>
          <w:tcPr>
            <w:tcW w:w="1276"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r w:rsidRPr="00A62F98">
              <w:rPr>
                <w:rFonts w:ascii="方正书宋_GBK" w:eastAsia="方正书宋_GBK" w:hint="eastAsia"/>
              </w:rPr>
              <w:t>提前下达上级专项资金</w:t>
            </w:r>
          </w:p>
        </w:tc>
        <w:tc>
          <w:tcPr>
            <w:tcW w:w="2976"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1417" w:type="dxa"/>
            <w:shd w:val="clear" w:color="auto" w:fill="auto"/>
            <w:vAlign w:val="center"/>
          </w:tcPr>
          <w:p w:rsidR="00E9721B" w:rsidRPr="00A62F98" w:rsidRDefault="00E9721B" w:rsidP="0073579F">
            <w:pPr>
              <w:spacing w:line="300" w:lineRule="exact"/>
              <w:jc w:val="left"/>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c>
          <w:tcPr>
            <w:tcW w:w="737" w:type="dxa"/>
            <w:shd w:val="clear" w:color="auto" w:fill="auto"/>
            <w:vAlign w:val="center"/>
          </w:tcPr>
          <w:p w:rsidR="00E9721B" w:rsidRPr="00A62F98" w:rsidRDefault="00E9721B" w:rsidP="0073579F">
            <w:pPr>
              <w:spacing w:line="300" w:lineRule="exact"/>
              <w:jc w:val="center"/>
              <w:rPr>
                <w:rFonts w:ascii="方正书宋_GBK" w:eastAsia="方正书宋_GBK"/>
              </w:rPr>
            </w:pPr>
          </w:p>
        </w:tc>
      </w:tr>
    </w:tbl>
    <w:p w:rsidR="00041994" w:rsidRPr="00E9721B" w:rsidRDefault="00041994" w:rsidP="00AD44A3">
      <w:pPr>
        <w:ind w:firstLineChars="200" w:firstLine="643"/>
        <w:jc w:val="left"/>
        <w:rPr>
          <w:rFonts w:ascii="方正仿宋简体" w:eastAsia="方正仿宋简体" w:hAnsi="Times New Roman" w:cs="Times New Roman"/>
          <w:b/>
          <w:sz w:val="32"/>
          <w:szCs w:val="32"/>
        </w:rPr>
      </w:pPr>
      <w:bookmarkStart w:id="1" w:name="_GoBack"/>
      <w:bookmarkEnd w:id="1"/>
    </w:p>
    <w:p w:rsidR="00041994" w:rsidRDefault="00041994" w:rsidP="007D6F93">
      <w:pPr>
        <w:jc w:val="left"/>
        <w:rPr>
          <w:rFonts w:ascii="方正仿宋简体" w:eastAsia="方正仿宋简体" w:hAnsi="Times New Roman" w:cs="Times New Roman"/>
          <w:b/>
          <w:sz w:val="32"/>
          <w:szCs w:val="32"/>
        </w:rPr>
      </w:pPr>
    </w:p>
    <w:bookmarkEnd w:id="0"/>
    <w:p w:rsidR="00751FE1" w:rsidRDefault="00751FE1" w:rsidP="00882773">
      <w:pPr>
        <w:autoSpaceDE w:val="0"/>
        <w:autoSpaceDN w:val="0"/>
        <w:adjustRightInd w:val="0"/>
        <w:jc w:val="left"/>
        <w:rPr>
          <w:rFonts w:ascii="宋体" w:cs="宋体"/>
          <w:kern w:val="0"/>
          <w:sz w:val="18"/>
          <w:szCs w:val="18"/>
          <w:lang w:val="zh-CN"/>
        </w:rPr>
      </w:pPr>
    </w:p>
    <w:p w:rsidR="00346B63" w:rsidRDefault="00F24692" w:rsidP="00346B63">
      <w:pPr>
        <w:ind w:firstLine="640"/>
        <w:rPr>
          <w:rFonts w:ascii="Times New Roman" w:eastAsia="方正仿宋_GBK" w:hAnsi="Times New Roman" w:cs="Times New Roman"/>
          <w:color w:val="FF0000"/>
          <w:sz w:val="32"/>
          <w:szCs w:val="24"/>
        </w:rPr>
      </w:pPr>
      <w:r>
        <w:rPr>
          <w:rFonts w:ascii="黑体" w:eastAsia="黑体" w:hAnsi="黑体" w:cs="Times New Roman" w:hint="eastAsia"/>
          <w:sz w:val="32"/>
          <w:szCs w:val="32"/>
        </w:rPr>
        <w:t>六、政府采购预算情况</w:t>
      </w:r>
    </w:p>
    <w:p w:rsidR="00882773" w:rsidRPr="00F4466B" w:rsidRDefault="00882773" w:rsidP="00346B63">
      <w:pPr>
        <w:ind w:firstLine="640"/>
        <w:rPr>
          <w:rFonts w:ascii="方正仿宋简体" w:eastAsia="方正仿宋简体" w:hAnsi="黑体" w:cs="Times New Roman"/>
          <w:color w:val="000000" w:themeColor="text1"/>
          <w:sz w:val="32"/>
          <w:szCs w:val="32"/>
        </w:rPr>
      </w:pPr>
      <w:r w:rsidRPr="00F4466B">
        <w:rPr>
          <w:rFonts w:ascii="方正仿宋简体" w:eastAsia="方正仿宋简体" w:hAnsi="Times New Roman" w:cs="Times New Roman" w:hint="eastAsia"/>
          <w:color w:val="000000" w:themeColor="text1"/>
          <w:sz w:val="32"/>
          <w:szCs w:val="24"/>
        </w:rPr>
        <w:t>本部门无政府采购预算。</w:t>
      </w:r>
    </w:p>
    <w:p w:rsidR="00751FE1" w:rsidRDefault="00F24692" w:rsidP="00D8117B">
      <w:pPr>
        <w:ind w:firstLine="640"/>
        <w:rPr>
          <w:rFonts w:ascii="黑体" w:eastAsia="黑体" w:hAnsi="黑体" w:cs="Times New Roman"/>
          <w:sz w:val="32"/>
          <w:szCs w:val="32"/>
        </w:rPr>
      </w:pPr>
      <w:r w:rsidRPr="00F4466B">
        <w:rPr>
          <w:rFonts w:ascii="黑体" w:eastAsia="黑体" w:hAnsi="黑体" w:cs="Times New Roman" w:hint="eastAsia"/>
          <w:sz w:val="32"/>
          <w:szCs w:val="32"/>
        </w:rPr>
        <w:t>七、国有资产信息</w:t>
      </w:r>
    </w:p>
    <w:p w:rsidR="00F4466B" w:rsidRDefault="00F4466B" w:rsidP="00F4466B">
      <w:pPr>
        <w:ind w:firstLine="641"/>
        <w:jc w:val="left"/>
        <w:rPr>
          <w:rFonts w:ascii="宋体" w:hAnsi="宋体" w:cs="仿宋_GB2312"/>
          <w:sz w:val="28"/>
          <w:szCs w:val="28"/>
        </w:rPr>
      </w:pPr>
      <w:r>
        <w:rPr>
          <w:rFonts w:ascii="宋体" w:hAnsi="宋体" w:cs="仿宋_GB2312" w:hint="eastAsia"/>
          <w:sz w:val="28"/>
          <w:szCs w:val="28"/>
        </w:rPr>
        <w:lastRenderedPageBreak/>
        <w:t>秦皇岛北戴河新区人民法院上年末固定资产金额为</w:t>
      </w:r>
      <w:r>
        <w:rPr>
          <w:rFonts w:ascii="宋体" w:hAnsi="宋体" w:cs="仿宋_GB2312"/>
          <w:sz w:val="28"/>
          <w:szCs w:val="28"/>
        </w:rPr>
        <w:t>641.74</w:t>
      </w:r>
      <w:r>
        <w:rPr>
          <w:rFonts w:ascii="宋体" w:hAnsi="宋体" w:cs="仿宋_GB2312" w:hint="eastAsia"/>
          <w:sz w:val="28"/>
          <w:szCs w:val="28"/>
        </w:rPr>
        <w:t>万元。</w:t>
      </w:r>
    </w:p>
    <w:p w:rsidR="00751FE1" w:rsidRPr="00F4466B" w:rsidRDefault="00751FE1">
      <w:pPr>
        <w:ind w:firstLine="640"/>
        <w:rPr>
          <w:rFonts w:ascii="仿宋_GB2312" w:eastAsia="仿宋_GB2312" w:hAnsi="黑体" w:cs="Times New Roman"/>
          <w:color w:val="FF0000"/>
          <w:sz w:val="32"/>
          <w:szCs w:val="32"/>
        </w:rPr>
      </w:pPr>
    </w:p>
    <w:tbl>
      <w:tblPr>
        <w:tblW w:w="13482" w:type="dxa"/>
        <w:tblInd w:w="93" w:type="dxa"/>
        <w:tblLayout w:type="fixed"/>
        <w:tblLook w:val="04A0"/>
      </w:tblPr>
      <w:tblGrid>
        <w:gridCol w:w="5224"/>
        <w:gridCol w:w="3155"/>
        <w:gridCol w:w="5103"/>
      </w:tblGrid>
      <w:tr w:rsidR="00751FE1">
        <w:trPr>
          <w:trHeight w:val="705"/>
        </w:trPr>
        <w:tc>
          <w:tcPr>
            <w:tcW w:w="13482" w:type="dxa"/>
            <w:gridSpan w:val="3"/>
            <w:tcBorders>
              <w:top w:val="nil"/>
              <w:left w:val="nil"/>
              <w:bottom w:val="nil"/>
              <w:right w:val="nil"/>
            </w:tcBorders>
            <w:vAlign w:val="center"/>
          </w:tcPr>
          <w:p w:rsidR="00751FE1" w:rsidRDefault="00F24692">
            <w:pPr>
              <w:widowControl/>
              <w:jc w:val="center"/>
              <w:rPr>
                <w:rFonts w:ascii="宋体" w:hAnsi="宋体" w:cs="宋体"/>
                <w:b/>
                <w:bCs/>
                <w:kern w:val="0"/>
                <w:sz w:val="32"/>
                <w:szCs w:val="32"/>
              </w:rPr>
            </w:pPr>
            <w:r>
              <w:rPr>
                <w:rFonts w:ascii="宋体" w:hAnsi="宋体" w:cs="宋体" w:hint="eastAsia"/>
                <w:b/>
                <w:bCs/>
                <w:kern w:val="0"/>
                <w:sz w:val="32"/>
                <w:szCs w:val="32"/>
              </w:rPr>
              <w:t>河北省省直部门固定资产占用情况表</w:t>
            </w:r>
          </w:p>
        </w:tc>
      </w:tr>
      <w:tr w:rsidR="00751FE1">
        <w:trPr>
          <w:trHeight w:val="510"/>
        </w:trPr>
        <w:tc>
          <w:tcPr>
            <w:tcW w:w="8379" w:type="dxa"/>
            <w:gridSpan w:val="2"/>
            <w:tcBorders>
              <w:top w:val="nil"/>
              <w:left w:val="nil"/>
              <w:bottom w:val="nil"/>
              <w:right w:val="nil"/>
            </w:tcBorders>
            <w:vAlign w:val="center"/>
          </w:tcPr>
          <w:p w:rsidR="00751FE1" w:rsidRDefault="00F24692">
            <w:pPr>
              <w:widowControl/>
              <w:jc w:val="left"/>
              <w:rPr>
                <w:rFonts w:ascii="宋体" w:hAnsi="宋体" w:cs="宋体"/>
                <w:kern w:val="0"/>
                <w:sz w:val="22"/>
              </w:rPr>
            </w:pPr>
            <w:r>
              <w:rPr>
                <w:rFonts w:ascii="宋体" w:hAnsi="宋体" w:cs="宋体" w:hint="eastAsia"/>
                <w:kern w:val="0"/>
                <w:sz w:val="22"/>
              </w:rPr>
              <w:t>编制部门：</w:t>
            </w:r>
            <w:r w:rsidR="00AF1AE6">
              <w:rPr>
                <w:rFonts w:ascii="宋体" w:hAnsi="宋体" w:cs="宋体" w:hint="eastAsia"/>
                <w:kern w:val="0"/>
                <w:sz w:val="22"/>
              </w:rPr>
              <w:t>秦皇岛北戴河新区人员法院</w:t>
            </w:r>
          </w:p>
        </w:tc>
        <w:tc>
          <w:tcPr>
            <w:tcW w:w="5103" w:type="dxa"/>
            <w:tcBorders>
              <w:top w:val="nil"/>
              <w:left w:val="nil"/>
              <w:bottom w:val="nil"/>
              <w:right w:val="nil"/>
            </w:tcBorders>
            <w:vAlign w:val="center"/>
          </w:tcPr>
          <w:p w:rsidR="00751FE1" w:rsidRDefault="00F24692">
            <w:pPr>
              <w:widowControl/>
              <w:jc w:val="left"/>
              <w:rPr>
                <w:rFonts w:ascii="宋体" w:hAnsi="宋体" w:cs="宋体"/>
                <w:kern w:val="0"/>
                <w:sz w:val="22"/>
              </w:rPr>
            </w:pPr>
            <w:r>
              <w:rPr>
                <w:rFonts w:ascii="宋体" w:hAnsi="宋体" w:cs="宋体" w:hint="eastAsia"/>
                <w:kern w:val="0"/>
                <w:sz w:val="22"/>
              </w:rPr>
              <w:t xml:space="preserve">截止时间：2016年12月31日  </w:t>
            </w:r>
          </w:p>
        </w:tc>
      </w:tr>
      <w:tr w:rsidR="00751FE1">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751FE1" w:rsidRDefault="00F24692">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751FE1" w:rsidRDefault="00F24692">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751FE1" w:rsidRDefault="00F24692">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751FE1">
        <w:trPr>
          <w:trHeight w:val="645"/>
        </w:trPr>
        <w:tc>
          <w:tcPr>
            <w:tcW w:w="5224" w:type="dxa"/>
            <w:tcBorders>
              <w:top w:val="nil"/>
              <w:left w:val="single" w:sz="4" w:space="0" w:color="auto"/>
              <w:bottom w:val="single" w:sz="4" w:space="0" w:color="auto"/>
              <w:right w:val="single" w:sz="4" w:space="0" w:color="auto"/>
            </w:tcBorders>
            <w:vAlign w:val="center"/>
          </w:tcPr>
          <w:p w:rsidR="00751FE1" w:rsidRDefault="00F24692">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751FE1" w:rsidRDefault="00F24692">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751FE1" w:rsidRDefault="00C54ACD">
            <w:pPr>
              <w:widowControl/>
              <w:jc w:val="center"/>
              <w:rPr>
                <w:rFonts w:ascii="宋体" w:hAnsi="宋体" w:cs="宋体"/>
                <w:kern w:val="0"/>
                <w:sz w:val="22"/>
              </w:rPr>
            </w:pPr>
            <w:r>
              <w:rPr>
                <w:rFonts w:ascii="宋体" w:hAnsi="宋体" w:cs="宋体"/>
                <w:kern w:val="0"/>
                <w:sz w:val="22"/>
              </w:rPr>
              <w:t>641.74</w:t>
            </w:r>
          </w:p>
        </w:tc>
      </w:tr>
      <w:tr w:rsidR="00751FE1">
        <w:trPr>
          <w:trHeight w:val="645"/>
        </w:trPr>
        <w:tc>
          <w:tcPr>
            <w:tcW w:w="5224" w:type="dxa"/>
            <w:tcBorders>
              <w:top w:val="nil"/>
              <w:left w:val="single" w:sz="4" w:space="0" w:color="auto"/>
              <w:bottom w:val="single" w:sz="4" w:space="0" w:color="auto"/>
              <w:right w:val="single" w:sz="4" w:space="0" w:color="auto"/>
            </w:tcBorders>
            <w:vAlign w:val="center"/>
          </w:tcPr>
          <w:p w:rsidR="00751FE1" w:rsidRDefault="00F24692">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751FE1" w:rsidRDefault="007D6F93">
            <w:pPr>
              <w:widowControl/>
              <w:jc w:val="center"/>
              <w:rPr>
                <w:rFonts w:ascii="宋体" w:hAnsi="宋体" w:cs="宋体"/>
                <w:kern w:val="0"/>
                <w:sz w:val="22"/>
              </w:rPr>
            </w:pPr>
            <w:r>
              <w:rPr>
                <w:rFonts w:ascii="宋体" w:hAnsi="宋体" w:cs="宋体" w:hint="eastAsia"/>
                <w:kern w:val="0"/>
                <w:sz w:val="22"/>
              </w:rPr>
              <w:t>0</w:t>
            </w:r>
          </w:p>
        </w:tc>
        <w:tc>
          <w:tcPr>
            <w:tcW w:w="5103" w:type="dxa"/>
            <w:tcBorders>
              <w:top w:val="nil"/>
              <w:left w:val="nil"/>
              <w:bottom w:val="single" w:sz="4" w:space="0" w:color="auto"/>
              <w:right w:val="single" w:sz="4" w:space="0" w:color="auto"/>
            </w:tcBorders>
            <w:vAlign w:val="center"/>
          </w:tcPr>
          <w:p w:rsidR="00751FE1" w:rsidRDefault="007D6F93">
            <w:pPr>
              <w:widowControl/>
              <w:jc w:val="center"/>
              <w:rPr>
                <w:rFonts w:ascii="宋体" w:hAnsi="宋体" w:cs="宋体"/>
                <w:kern w:val="0"/>
                <w:sz w:val="22"/>
              </w:rPr>
            </w:pPr>
            <w:r>
              <w:rPr>
                <w:rFonts w:ascii="宋体" w:hAnsi="宋体" w:cs="宋体"/>
                <w:kern w:val="0"/>
                <w:sz w:val="22"/>
              </w:rPr>
              <w:t>0</w:t>
            </w:r>
          </w:p>
        </w:tc>
      </w:tr>
      <w:tr w:rsidR="00751FE1">
        <w:trPr>
          <w:trHeight w:val="645"/>
        </w:trPr>
        <w:tc>
          <w:tcPr>
            <w:tcW w:w="5224" w:type="dxa"/>
            <w:tcBorders>
              <w:top w:val="nil"/>
              <w:left w:val="single" w:sz="4" w:space="0" w:color="auto"/>
              <w:bottom w:val="single" w:sz="4" w:space="0" w:color="auto"/>
              <w:right w:val="single" w:sz="4" w:space="0" w:color="auto"/>
            </w:tcBorders>
            <w:vAlign w:val="center"/>
          </w:tcPr>
          <w:p w:rsidR="00751FE1" w:rsidRDefault="00F24692">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751FE1" w:rsidRDefault="007D6F93">
            <w:pPr>
              <w:widowControl/>
              <w:jc w:val="center"/>
              <w:rPr>
                <w:rFonts w:ascii="宋体" w:hAnsi="宋体" w:cs="宋体"/>
                <w:kern w:val="0"/>
                <w:sz w:val="22"/>
              </w:rPr>
            </w:pPr>
            <w:r>
              <w:rPr>
                <w:rFonts w:ascii="宋体" w:hAnsi="宋体" w:cs="宋体"/>
                <w:kern w:val="0"/>
                <w:sz w:val="22"/>
              </w:rPr>
              <w:t>0</w:t>
            </w:r>
          </w:p>
        </w:tc>
        <w:tc>
          <w:tcPr>
            <w:tcW w:w="5103" w:type="dxa"/>
            <w:tcBorders>
              <w:top w:val="nil"/>
              <w:left w:val="nil"/>
              <w:bottom w:val="single" w:sz="4" w:space="0" w:color="auto"/>
              <w:right w:val="single" w:sz="4" w:space="0" w:color="auto"/>
            </w:tcBorders>
            <w:vAlign w:val="center"/>
          </w:tcPr>
          <w:p w:rsidR="00751FE1" w:rsidRDefault="007D6F93">
            <w:pPr>
              <w:widowControl/>
              <w:jc w:val="center"/>
              <w:rPr>
                <w:rFonts w:ascii="宋体" w:hAnsi="宋体" w:cs="宋体"/>
                <w:kern w:val="0"/>
                <w:sz w:val="22"/>
              </w:rPr>
            </w:pPr>
            <w:r>
              <w:rPr>
                <w:rFonts w:ascii="宋体" w:hAnsi="宋体" w:cs="宋体"/>
                <w:kern w:val="0"/>
                <w:sz w:val="22"/>
              </w:rPr>
              <w:t>0</w:t>
            </w:r>
          </w:p>
        </w:tc>
      </w:tr>
      <w:tr w:rsidR="00751FE1">
        <w:trPr>
          <w:trHeight w:val="645"/>
        </w:trPr>
        <w:tc>
          <w:tcPr>
            <w:tcW w:w="5224" w:type="dxa"/>
            <w:tcBorders>
              <w:top w:val="nil"/>
              <w:left w:val="single" w:sz="4" w:space="0" w:color="auto"/>
              <w:bottom w:val="single" w:sz="4" w:space="0" w:color="auto"/>
              <w:right w:val="single" w:sz="4" w:space="0" w:color="auto"/>
            </w:tcBorders>
            <w:vAlign w:val="center"/>
          </w:tcPr>
          <w:p w:rsidR="00751FE1" w:rsidRDefault="00F24692">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751FE1" w:rsidRDefault="007D6F93" w:rsidP="007D6F93">
            <w:pPr>
              <w:widowControl/>
              <w:jc w:val="center"/>
              <w:rPr>
                <w:rFonts w:ascii="宋体" w:hAnsi="宋体" w:cs="宋体"/>
                <w:kern w:val="0"/>
                <w:sz w:val="22"/>
              </w:rPr>
            </w:pPr>
            <w:r>
              <w:rPr>
                <w:rFonts w:ascii="宋体" w:hAnsi="宋体" w:cs="宋体" w:hint="eastAsia"/>
                <w:kern w:val="0"/>
                <w:sz w:val="22"/>
              </w:rPr>
              <w:t>8</w:t>
            </w:r>
          </w:p>
        </w:tc>
        <w:tc>
          <w:tcPr>
            <w:tcW w:w="5103" w:type="dxa"/>
            <w:tcBorders>
              <w:top w:val="nil"/>
              <w:left w:val="nil"/>
              <w:bottom w:val="single" w:sz="4" w:space="0" w:color="auto"/>
              <w:right w:val="single" w:sz="4" w:space="0" w:color="auto"/>
            </w:tcBorders>
            <w:vAlign w:val="center"/>
          </w:tcPr>
          <w:p w:rsidR="00751FE1" w:rsidRDefault="003C50C0">
            <w:pPr>
              <w:widowControl/>
              <w:jc w:val="center"/>
              <w:rPr>
                <w:rFonts w:ascii="宋体" w:hAnsi="宋体" w:cs="宋体"/>
                <w:kern w:val="0"/>
                <w:sz w:val="22"/>
              </w:rPr>
            </w:pPr>
            <w:r>
              <w:rPr>
                <w:rFonts w:ascii="宋体" w:hAnsi="宋体" w:cs="宋体" w:hint="eastAsia"/>
                <w:kern w:val="0"/>
                <w:sz w:val="22"/>
              </w:rPr>
              <w:t>151.46</w:t>
            </w:r>
          </w:p>
        </w:tc>
      </w:tr>
      <w:tr w:rsidR="00751FE1">
        <w:trPr>
          <w:trHeight w:val="645"/>
        </w:trPr>
        <w:tc>
          <w:tcPr>
            <w:tcW w:w="5224" w:type="dxa"/>
            <w:tcBorders>
              <w:top w:val="nil"/>
              <w:left w:val="single" w:sz="4" w:space="0" w:color="auto"/>
              <w:bottom w:val="single" w:sz="4" w:space="0" w:color="auto"/>
              <w:right w:val="single" w:sz="4" w:space="0" w:color="auto"/>
            </w:tcBorders>
            <w:vAlign w:val="center"/>
          </w:tcPr>
          <w:p w:rsidR="00751FE1" w:rsidRDefault="00F24692">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751FE1" w:rsidRDefault="00F4466B">
            <w:pPr>
              <w:widowControl/>
              <w:jc w:val="center"/>
              <w:rPr>
                <w:rFonts w:ascii="宋体" w:hAnsi="宋体" w:cs="宋体"/>
                <w:kern w:val="0"/>
                <w:sz w:val="22"/>
              </w:rPr>
            </w:pPr>
            <w:r>
              <w:rPr>
                <w:rFonts w:ascii="宋体" w:hAnsi="宋体" w:cs="宋体"/>
                <w:kern w:val="0"/>
                <w:sz w:val="22"/>
              </w:rPr>
              <w:t>1</w:t>
            </w:r>
          </w:p>
        </w:tc>
        <w:tc>
          <w:tcPr>
            <w:tcW w:w="5103" w:type="dxa"/>
            <w:tcBorders>
              <w:top w:val="nil"/>
              <w:left w:val="nil"/>
              <w:bottom w:val="single" w:sz="4" w:space="0" w:color="auto"/>
              <w:right w:val="single" w:sz="4" w:space="0" w:color="auto"/>
            </w:tcBorders>
            <w:vAlign w:val="center"/>
          </w:tcPr>
          <w:p w:rsidR="00751FE1" w:rsidRDefault="00F4466B">
            <w:pPr>
              <w:widowControl/>
              <w:jc w:val="center"/>
              <w:rPr>
                <w:rFonts w:ascii="宋体" w:hAnsi="宋体" w:cs="宋体"/>
                <w:kern w:val="0"/>
                <w:sz w:val="22"/>
              </w:rPr>
            </w:pPr>
            <w:r>
              <w:rPr>
                <w:rFonts w:ascii="宋体" w:hAnsi="宋体" w:cs="宋体"/>
                <w:kern w:val="0"/>
                <w:sz w:val="22"/>
              </w:rPr>
              <w:t>47</w:t>
            </w:r>
          </w:p>
        </w:tc>
      </w:tr>
      <w:tr w:rsidR="00751FE1">
        <w:trPr>
          <w:trHeight w:val="645"/>
        </w:trPr>
        <w:tc>
          <w:tcPr>
            <w:tcW w:w="5224" w:type="dxa"/>
            <w:tcBorders>
              <w:top w:val="nil"/>
              <w:left w:val="single" w:sz="4" w:space="0" w:color="auto"/>
              <w:bottom w:val="single" w:sz="4" w:space="0" w:color="auto"/>
              <w:right w:val="single" w:sz="4" w:space="0" w:color="auto"/>
            </w:tcBorders>
            <w:vAlign w:val="center"/>
          </w:tcPr>
          <w:p w:rsidR="00751FE1" w:rsidRDefault="00F24692">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751FE1" w:rsidRDefault="00F24692">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751FE1" w:rsidRDefault="00F4466B">
            <w:pPr>
              <w:widowControl/>
              <w:jc w:val="center"/>
              <w:rPr>
                <w:rFonts w:ascii="宋体" w:hAnsi="宋体" w:cs="宋体"/>
                <w:kern w:val="0"/>
                <w:sz w:val="22"/>
              </w:rPr>
            </w:pPr>
            <w:r>
              <w:rPr>
                <w:rFonts w:ascii="宋体" w:hAnsi="宋体" w:cs="宋体" w:hint="eastAsia"/>
                <w:kern w:val="0"/>
                <w:sz w:val="22"/>
              </w:rPr>
              <w:t>443.28</w:t>
            </w:r>
          </w:p>
        </w:tc>
      </w:tr>
    </w:tbl>
    <w:p w:rsidR="00751FE1" w:rsidRDefault="00D8117B" w:rsidP="00D8117B">
      <w:pPr>
        <w:ind w:firstLine="640"/>
        <w:rPr>
          <w:rFonts w:ascii="黑体" w:eastAsia="黑体" w:hAnsi="黑体" w:cs="Times New Roman"/>
          <w:sz w:val="32"/>
          <w:szCs w:val="32"/>
        </w:rPr>
      </w:pPr>
      <w:r>
        <w:rPr>
          <w:rFonts w:ascii="黑体" w:eastAsia="黑体" w:hAnsi="黑体" w:cs="Times New Roman" w:hint="eastAsia"/>
          <w:sz w:val="32"/>
          <w:szCs w:val="32"/>
        </w:rPr>
        <w:t>八、</w:t>
      </w:r>
      <w:r w:rsidR="00F24692">
        <w:rPr>
          <w:rFonts w:ascii="黑体" w:eastAsia="黑体" w:hAnsi="黑体" w:cs="Times New Roman" w:hint="eastAsia"/>
          <w:sz w:val="32"/>
          <w:szCs w:val="32"/>
        </w:rPr>
        <w:t>名词解释</w:t>
      </w:r>
    </w:p>
    <w:p w:rsidR="00751FE1" w:rsidRPr="00346B63" w:rsidRDefault="00F24692" w:rsidP="00F24692">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hint="eastAsia"/>
          <w:sz w:val="32"/>
          <w:szCs w:val="24"/>
        </w:rPr>
        <w:t>1</w:t>
      </w:r>
      <w:r w:rsidR="00D8117B" w:rsidRPr="00346B63">
        <w:rPr>
          <w:rFonts w:ascii="方正仿宋简体" w:eastAsia="方正仿宋简体" w:hAnsi="Times New Roman" w:cs="Times New Roman" w:hint="eastAsia"/>
          <w:sz w:val="32"/>
          <w:szCs w:val="24"/>
        </w:rPr>
        <w:t>、一般预算收入：指区级财政当年拨付的</w:t>
      </w:r>
      <w:r w:rsidRPr="00346B63">
        <w:rPr>
          <w:rFonts w:ascii="方正仿宋简体" w:eastAsia="方正仿宋简体" w:hAnsi="Times New Roman" w:cs="Times New Roman" w:hint="eastAsia"/>
          <w:sz w:val="32"/>
          <w:szCs w:val="24"/>
        </w:rPr>
        <w:t>资金。</w:t>
      </w:r>
    </w:p>
    <w:p w:rsidR="00751FE1" w:rsidRPr="00346B63" w:rsidRDefault="00F24692" w:rsidP="00F24692">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hint="eastAsia"/>
          <w:sz w:val="32"/>
          <w:szCs w:val="24"/>
        </w:rPr>
        <w:lastRenderedPageBreak/>
        <w:t>2、基本支出：</w:t>
      </w:r>
      <w:r w:rsidR="00D8117B" w:rsidRPr="00346B63">
        <w:rPr>
          <w:rFonts w:ascii="方正仿宋简体" w:eastAsia="方正仿宋简体" w:hAnsi="Times New Roman" w:cs="Times New Roman" w:hint="eastAsia"/>
          <w:sz w:val="32"/>
          <w:szCs w:val="24"/>
        </w:rPr>
        <w:t>指为保障机构正常运转、</w:t>
      </w:r>
      <w:r w:rsidRPr="00346B63">
        <w:rPr>
          <w:rFonts w:ascii="方正仿宋简体" w:eastAsia="方正仿宋简体" w:hAnsi="Times New Roman" w:cs="Times New Roman" w:hint="eastAsia"/>
          <w:sz w:val="32"/>
          <w:szCs w:val="24"/>
        </w:rPr>
        <w:t>完成</w:t>
      </w:r>
      <w:r w:rsidR="00D8117B" w:rsidRPr="00346B63">
        <w:rPr>
          <w:rFonts w:ascii="方正仿宋简体" w:eastAsia="方正仿宋简体" w:hAnsi="Times New Roman" w:cs="Times New Roman" w:hint="eastAsia"/>
          <w:sz w:val="32"/>
          <w:szCs w:val="24"/>
        </w:rPr>
        <w:t>日常工作任务</w:t>
      </w:r>
      <w:r w:rsidRPr="00346B63">
        <w:rPr>
          <w:rFonts w:ascii="方正仿宋简体" w:eastAsia="方正仿宋简体" w:hAnsi="Times New Roman" w:cs="Times New Roman" w:hint="eastAsia"/>
          <w:sz w:val="32"/>
          <w:szCs w:val="24"/>
        </w:rPr>
        <w:t>而发生的人员支出和公用支出。</w:t>
      </w:r>
    </w:p>
    <w:p w:rsidR="00751FE1" w:rsidRPr="00346B63" w:rsidRDefault="00F24692" w:rsidP="00F24692">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hint="eastAsia"/>
          <w:sz w:val="32"/>
          <w:szCs w:val="24"/>
        </w:rPr>
        <w:t>3、项目支出：</w:t>
      </w:r>
      <w:r w:rsidR="00D8117B" w:rsidRPr="00346B63">
        <w:rPr>
          <w:rFonts w:ascii="方正仿宋简体" w:eastAsia="方正仿宋简体" w:hAnsi="Times New Roman" w:cs="Times New Roman" w:hint="eastAsia"/>
          <w:sz w:val="32"/>
          <w:szCs w:val="24"/>
        </w:rPr>
        <w:t>指在基本支出之外为完成特定行政任务和事业发展目标所</w:t>
      </w:r>
      <w:r w:rsidRPr="00346B63">
        <w:rPr>
          <w:rFonts w:ascii="方正仿宋简体" w:eastAsia="方正仿宋简体" w:hAnsi="Times New Roman" w:cs="Times New Roman" w:hint="eastAsia"/>
          <w:sz w:val="32"/>
          <w:szCs w:val="24"/>
        </w:rPr>
        <w:t>发生的支出。</w:t>
      </w:r>
    </w:p>
    <w:p w:rsidR="00751FE1" w:rsidRPr="00346B63" w:rsidRDefault="00F24692" w:rsidP="00F24692">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hint="eastAsia"/>
          <w:sz w:val="32"/>
          <w:szCs w:val="24"/>
        </w:rPr>
        <w:t>4、机关运行费：是指为保证行政</w:t>
      </w:r>
      <w:r w:rsidR="00D8117B" w:rsidRPr="00346B63">
        <w:rPr>
          <w:rFonts w:ascii="方正仿宋简体" w:eastAsia="方正仿宋简体" w:hAnsi="Times New Roman" w:cs="Times New Roman" w:hint="eastAsia"/>
          <w:sz w:val="32"/>
          <w:szCs w:val="24"/>
        </w:rPr>
        <w:t>事业</w:t>
      </w:r>
      <w:r w:rsidRPr="00346B63">
        <w:rPr>
          <w:rFonts w:ascii="方正仿宋简体" w:eastAsia="方正仿宋简体" w:hAnsi="Times New Roman" w:cs="Times New Roman" w:hint="eastAsia"/>
          <w:sz w:val="32"/>
          <w:szCs w:val="24"/>
        </w:rPr>
        <w:t>单位运行，用于购买货物和服务的各项资金。主要包括：办公费、印刷费，水费、电费、邮电费、福利费、日常维修费、办公取暖费、办公物业服务费、公务车运行维护费等。</w:t>
      </w:r>
    </w:p>
    <w:p w:rsidR="00751FE1" w:rsidRPr="00D8117B" w:rsidRDefault="00F24692" w:rsidP="00D8117B">
      <w:pPr>
        <w:ind w:firstLine="640"/>
        <w:rPr>
          <w:rFonts w:ascii="黑体" w:eastAsia="黑体" w:hAnsi="黑体" w:cs="Times New Roman"/>
          <w:sz w:val="32"/>
          <w:szCs w:val="32"/>
        </w:rPr>
      </w:pPr>
      <w:r w:rsidRPr="00D8117B">
        <w:rPr>
          <w:rFonts w:ascii="黑体" w:eastAsia="黑体" w:hAnsi="黑体" w:cs="Times New Roman" w:hint="eastAsia"/>
          <w:sz w:val="32"/>
          <w:szCs w:val="32"/>
        </w:rPr>
        <w:t>九、其他需要说明的事项</w:t>
      </w:r>
    </w:p>
    <w:p w:rsidR="00751FE1" w:rsidRPr="00346B63" w:rsidRDefault="00F24692" w:rsidP="00F24692">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hint="eastAsia"/>
          <w:sz w:val="32"/>
          <w:szCs w:val="24"/>
        </w:rPr>
        <w:t>无</w:t>
      </w:r>
      <w:r w:rsidR="00346B63">
        <w:rPr>
          <w:rFonts w:ascii="方正仿宋简体" w:eastAsia="方正仿宋简体" w:hAnsi="Times New Roman" w:cs="Times New Roman" w:hint="eastAsia"/>
          <w:sz w:val="32"/>
          <w:szCs w:val="24"/>
        </w:rPr>
        <w:t>。</w:t>
      </w:r>
    </w:p>
    <w:p w:rsidR="00751FE1" w:rsidRDefault="00751FE1">
      <w:pPr>
        <w:ind w:firstLineChars="200" w:firstLine="640"/>
        <w:rPr>
          <w:rFonts w:ascii="仿宋_GB2312" w:eastAsia="仿宋_GB2312" w:hAnsi="仿宋_GB2312" w:cs="仿宋_GB2312"/>
          <w:sz w:val="32"/>
          <w:szCs w:val="32"/>
        </w:rPr>
      </w:pPr>
    </w:p>
    <w:sectPr w:rsidR="00751FE1" w:rsidSect="00751FE1">
      <w:pgSz w:w="16838" w:h="11906" w:orient="landscape"/>
      <w:pgMar w:top="1800" w:right="1440" w:bottom="1800"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82928" w15:done="0"/>
  <w15:commentEx w15:paraId="78DFCC5A" w15:done="0"/>
  <w15:commentEx w15:paraId="3CAF9D6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4A" w:rsidRDefault="00E0684A" w:rsidP="00F24692">
      <w:r>
        <w:separator/>
      </w:r>
    </w:p>
  </w:endnote>
  <w:endnote w:type="continuationSeparator" w:id="1">
    <w:p w:rsidR="00E0684A" w:rsidRDefault="00E0684A" w:rsidP="00F24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4A" w:rsidRDefault="00E0684A" w:rsidP="00F24692">
      <w:r>
        <w:separator/>
      </w:r>
    </w:p>
  </w:footnote>
  <w:footnote w:type="continuationSeparator" w:id="1">
    <w:p w:rsidR="00E0684A" w:rsidRDefault="00E0684A" w:rsidP="00F24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16B4"/>
    <w:multiLevelType w:val="hybridMultilevel"/>
    <w:tmpl w:val="42EA78FE"/>
    <w:lvl w:ilvl="0" w:tplc="14B6F98E">
      <w:start w:val="2"/>
      <w:numFmt w:val="decimal"/>
      <w:lvlText w:val="%1、"/>
      <w:lvlJc w:val="left"/>
      <w:pPr>
        <w:ind w:left="1695" w:hanging="72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1">
    <w:nsid w:val="58818F2D"/>
    <w:multiLevelType w:val="singleLevel"/>
    <w:tmpl w:val="58818F2D"/>
    <w:lvl w:ilvl="0">
      <w:start w:val="2"/>
      <w:numFmt w:val="decimal"/>
      <w:suff w:val="nothing"/>
      <w:lvlText w:val="%1、"/>
      <w:lvlJc w:val="left"/>
    </w:lvl>
  </w:abstractNum>
  <w:abstractNum w:abstractNumId="2">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36B20"/>
    <w:rsid w:val="00037AF6"/>
    <w:rsid w:val="00041994"/>
    <w:rsid w:val="00075D5F"/>
    <w:rsid w:val="000A6B33"/>
    <w:rsid w:val="000B3E8D"/>
    <w:rsid w:val="000C3A19"/>
    <w:rsid w:val="000D3F0D"/>
    <w:rsid w:val="000D48F5"/>
    <w:rsid w:val="000E50CD"/>
    <w:rsid w:val="00112E3C"/>
    <w:rsid w:val="001245BB"/>
    <w:rsid w:val="00174EBC"/>
    <w:rsid w:val="001869E6"/>
    <w:rsid w:val="001E4577"/>
    <w:rsid w:val="00232292"/>
    <w:rsid w:val="00241FD4"/>
    <w:rsid w:val="0025126D"/>
    <w:rsid w:val="00251B12"/>
    <w:rsid w:val="00256F62"/>
    <w:rsid w:val="00292E8E"/>
    <w:rsid w:val="00296113"/>
    <w:rsid w:val="002C5F5F"/>
    <w:rsid w:val="002F3E58"/>
    <w:rsid w:val="003047D2"/>
    <w:rsid w:val="0030542C"/>
    <w:rsid w:val="00311B7A"/>
    <w:rsid w:val="00314C7B"/>
    <w:rsid w:val="00346B63"/>
    <w:rsid w:val="00364058"/>
    <w:rsid w:val="00376448"/>
    <w:rsid w:val="003C50C0"/>
    <w:rsid w:val="003F082D"/>
    <w:rsid w:val="00451871"/>
    <w:rsid w:val="004547AD"/>
    <w:rsid w:val="00472923"/>
    <w:rsid w:val="004B52E0"/>
    <w:rsid w:val="004D4E61"/>
    <w:rsid w:val="004E3066"/>
    <w:rsid w:val="004E74CD"/>
    <w:rsid w:val="005549F6"/>
    <w:rsid w:val="00573562"/>
    <w:rsid w:val="00574ABB"/>
    <w:rsid w:val="00587525"/>
    <w:rsid w:val="00614A29"/>
    <w:rsid w:val="006509AF"/>
    <w:rsid w:val="006A63BD"/>
    <w:rsid w:val="006D0BF7"/>
    <w:rsid w:val="006E3FDA"/>
    <w:rsid w:val="006F462B"/>
    <w:rsid w:val="00751FE1"/>
    <w:rsid w:val="0075393C"/>
    <w:rsid w:val="00776C08"/>
    <w:rsid w:val="007D6F93"/>
    <w:rsid w:val="007E1DA8"/>
    <w:rsid w:val="007F6C26"/>
    <w:rsid w:val="0080201F"/>
    <w:rsid w:val="00822E19"/>
    <w:rsid w:val="008334AE"/>
    <w:rsid w:val="00836FED"/>
    <w:rsid w:val="008445FA"/>
    <w:rsid w:val="00845CD2"/>
    <w:rsid w:val="00852B0D"/>
    <w:rsid w:val="008722B6"/>
    <w:rsid w:val="00881692"/>
    <w:rsid w:val="00882773"/>
    <w:rsid w:val="00887B5F"/>
    <w:rsid w:val="008B3CC5"/>
    <w:rsid w:val="008E4261"/>
    <w:rsid w:val="008F1522"/>
    <w:rsid w:val="008F3E86"/>
    <w:rsid w:val="008F4662"/>
    <w:rsid w:val="00905D08"/>
    <w:rsid w:val="00925753"/>
    <w:rsid w:val="00966C5C"/>
    <w:rsid w:val="00973104"/>
    <w:rsid w:val="00A72D2E"/>
    <w:rsid w:val="00A911E7"/>
    <w:rsid w:val="00A939D9"/>
    <w:rsid w:val="00AB1673"/>
    <w:rsid w:val="00AD44A3"/>
    <w:rsid w:val="00AF1AE6"/>
    <w:rsid w:val="00AF2CB4"/>
    <w:rsid w:val="00B20712"/>
    <w:rsid w:val="00B43238"/>
    <w:rsid w:val="00B67305"/>
    <w:rsid w:val="00B75216"/>
    <w:rsid w:val="00B91D52"/>
    <w:rsid w:val="00BA1ACD"/>
    <w:rsid w:val="00BA49AE"/>
    <w:rsid w:val="00BE70B7"/>
    <w:rsid w:val="00C54ACD"/>
    <w:rsid w:val="00C804AF"/>
    <w:rsid w:val="00CA7176"/>
    <w:rsid w:val="00CB0DD3"/>
    <w:rsid w:val="00CC163D"/>
    <w:rsid w:val="00CD2773"/>
    <w:rsid w:val="00CE143B"/>
    <w:rsid w:val="00D74B13"/>
    <w:rsid w:val="00D8117B"/>
    <w:rsid w:val="00D86CD4"/>
    <w:rsid w:val="00D9499E"/>
    <w:rsid w:val="00E0684A"/>
    <w:rsid w:val="00E12520"/>
    <w:rsid w:val="00E167C7"/>
    <w:rsid w:val="00E9721B"/>
    <w:rsid w:val="00EC47F6"/>
    <w:rsid w:val="00F24692"/>
    <w:rsid w:val="00F4466B"/>
    <w:rsid w:val="00F66032"/>
    <w:rsid w:val="00F958C2"/>
    <w:rsid w:val="00FA3A21"/>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E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51FE1"/>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rsid w:val="00751FE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751FE1"/>
    <w:rPr>
      <w:rFonts w:ascii="Times New Roman" w:hAnsi="Times New Roman" w:cs="Times New Roman"/>
      <w:szCs w:val="24"/>
    </w:rPr>
  </w:style>
  <w:style w:type="paragraph" w:styleId="2">
    <w:name w:val="toc 2"/>
    <w:basedOn w:val="a"/>
    <w:next w:val="a"/>
    <w:rsid w:val="00751FE1"/>
    <w:pPr>
      <w:ind w:leftChars="200" w:left="420"/>
    </w:pPr>
    <w:rPr>
      <w:rFonts w:ascii="Times New Roman" w:hAnsi="Times New Roman" w:cs="Times New Roman"/>
      <w:szCs w:val="24"/>
    </w:rPr>
  </w:style>
  <w:style w:type="character" w:customStyle="1" w:styleId="Char0">
    <w:name w:val="页眉 Char"/>
    <w:basedOn w:val="a0"/>
    <w:link w:val="a4"/>
    <w:rsid w:val="00751FE1"/>
    <w:rPr>
      <w:rFonts w:ascii="Times New Roman" w:eastAsia="宋体" w:hAnsi="Times New Roman" w:cs="Times New Roman"/>
      <w:sz w:val="18"/>
      <w:szCs w:val="18"/>
    </w:rPr>
  </w:style>
  <w:style w:type="character" w:customStyle="1" w:styleId="Char">
    <w:name w:val="页脚 Char"/>
    <w:basedOn w:val="a0"/>
    <w:link w:val="a3"/>
    <w:rsid w:val="00751FE1"/>
    <w:rPr>
      <w:rFonts w:ascii="Times New Roman" w:eastAsia="宋体" w:hAnsi="Times New Roman" w:cs="Times New Roman"/>
      <w:sz w:val="18"/>
      <w:szCs w:val="18"/>
    </w:rPr>
  </w:style>
  <w:style w:type="character" w:styleId="a5">
    <w:name w:val="annotation reference"/>
    <w:basedOn w:val="a0"/>
    <w:semiHidden/>
    <w:unhideWhenUsed/>
    <w:rsid w:val="00F24692"/>
    <w:rPr>
      <w:sz w:val="21"/>
      <w:szCs w:val="21"/>
    </w:rPr>
  </w:style>
  <w:style w:type="paragraph" w:styleId="a6">
    <w:name w:val="annotation text"/>
    <w:basedOn w:val="a"/>
    <w:link w:val="Char1"/>
    <w:semiHidden/>
    <w:unhideWhenUsed/>
    <w:rsid w:val="00F24692"/>
    <w:pPr>
      <w:jc w:val="left"/>
    </w:pPr>
  </w:style>
  <w:style w:type="character" w:customStyle="1" w:styleId="Char1">
    <w:name w:val="批注文字 Char"/>
    <w:basedOn w:val="a0"/>
    <w:link w:val="a6"/>
    <w:semiHidden/>
    <w:rsid w:val="00F24692"/>
    <w:rPr>
      <w:rFonts w:ascii="Calibri" w:hAnsi="Calibri" w:cs="黑体"/>
      <w:kern w:val="2"/>
      <w:sz w:val="21"/>
      <w:szCs w:val="22"/>
    </w:rPr>
  </w:style>
  <w:style w:type="paragraph" w:styleId="a7">
    <w:name w:val="annotation subject"/>
    <w:basedOn w:val="a6"/>
    <w:next w:val="a6"/>
    <w:link w:val="Char2"/>
    <w:semiHidden/>
    <w:unhideWhenUsed/>
    <w:rsid w:val="00F24692"/>
    <w:rPr>
      <w:b/>
      <w:bCs/>
    </w:rPr>
  </w:style>
  <w:style w:type="character" w:customStyle="1" w:styleId="Char2">
    <w:name w:val="批注主题 Char"/>
    <w:basedOn w:val="Char1"/>
    <w:link w:val="a7"/>
    <w:semiHidden/>
    <w:rsid w:val="00F24692"/>
    <w:rPr>
      <w:rFonts w:ascii="Calibri" w:hAnsi="Calibri" w:cs="黑体"/>
      <w:b/>
      <w:bCs/>
      <w:kern w:val="2"/>
      <w:sz w:val="21"/>
      <w:szCs w:val="22"/>
    </w:rPr>
  </w:style>
  <w:style w:type="paragraph" w:styleId="a8">
    <w:name w:val="Balloon Text"/>
    <w:basedOn w:val="a"/>
    <w:link w:val="Char3"/>
    <w:semiHidden/>
    <w:unhideWhenUsed/>
    <w:rsid w:val="00F24692"/>
    <w:rPr>
      <w:sz w:val="18"/>
      <w:szCs w:val="18"/>
    </w:rPr>
  </w:style>
  <w:style w:type="character" w:customStyle="1" w:styleId="Char3">
    <w:name w:val="批注框文本 Char"/>
    <w:basedOn w:val="a0"/>
    <w:link w:val="a8"/>
    <w:semiHidden/>
    <w:rsid w:val="00F24692"/>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264584428">
      <w:bodyDiv w:val="1"/>
      <w:marLeft w:val="0"/>
      <w:marRight w:val="0"/>
      <w:marTop w:val="0"/>
      <w:marBottom w:val="0"/>
      <w:divBdr>
        <w:top w:val="none" w:sz="0" w:space="0" w:color="auto"/>
        <w:left w:val="none" w:sz="0" w:space="0" w:color="auto"/>
        <w:bottom w:val="none" w:sz="0" w:space="0" w:color="auto"/>
        <w:right w:val="none" w:sz="0" w:space="0" w:color="auto"/>
      </w:divBdr>
    </w:div>
    <w:div w:id="790589612">
      <w:bodyDiv w:val="1"/>
      <w:marLeft w:val="0"/>
      <w:marRight w:val="0"/>
      <w:marTop w:val="0"/>
      <w:marBottom w:val="0"/>
      <w:divBdr>
        <w:top w:val="none" w:sz="0" w:space="0" w:color="auto"/>
        <w:left w:val="none" w:sz="0" w:space="0" w:color="auto"/>
        <w:bottom w:val="none" w:sz="0" w:space="0" w:color="auto"/>
        <w:right w:val="none" w:sz="0" w:space="0" w:color="auto"/>
      </w:divBdr>
    </w:div>
    <w:div w:id="1264530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634</Words>
  <Characters>3620</Characters>
  <Application>Microsoft Office Word</Application>
  <DocSecurity>0</DocSecurity>
  <Lines>30</Lines>
  <Paragraphs>8</Paragraphs>
  <ScaleCrop>false</ScaleCrop>
  <Company>微软中国</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25</cp:revision>
  <cp:lastPrinted>2018-03-26T02:00:00Z</cp:lastPrinted>
  <dcterms:created xsi:type="dcterms:W3CDTF">2017-04-25T03:22:00Z</dcterms:created>
  <dcterms:modified xsi:type="dcterms:W3CDTF">2019-03-14T07:01:00Z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