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北戴河新区</w:t>
      </w:r>
      <w:r>
        <w:rPr>
          <w:rFonts w:hint="eastAsia" w:ascii="方正小标宋简体" w:hAnsi="Times New Roman" w:eastAsia="方正小标宋简体" w:cs="Times New Roman"/>
          <w:sz w:val="44"/>
          <w:szCs w:val="44"/>
          <w:lang w:eastAsia="zh-CN"/>
        </w:rPr>
        <w:t>大蒲河街道办事处</w:t>
      </w:r>
      <w:r>
        <w:rPr>
          <w:rFonts w:hint="eastAsia" w:ascii="方正小标宋简体" w:hAnsi="Times New Roman" w:eastAsia="方正小标宋简体" w:cs="Times New Roman"/>
          <w:sz w:val="44"/>
          <w:szCs w:val="44"/>
        </w:rPr>
        <w:t>2017年部门预算信息公开说明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按照《预算法》、《地方预决算公开操作规程》和《河北省省级预算公开办法》规定，现将2017年部门预算公开如下：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napToGrid w:val="0"/>
        <w:spacing w:line="520" w:lineRule="exact"/>
        <w:ind w:firstLine="643" w:firstLineChars="200"/>
        <w:rPr>
          <w:rFonts w:ascii="方正仿宋简体" w:hAnsi="Times New Roman" w:eastAsia="方正仿宋简体" w:cs="Times New Roman"/>
          <w:color w:val="FF0000"/>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ascii="方正黑体_GBK" w:eastAsia="方正黑体_GBK"/>
          <w:sz w:val="28"/>
        </w:rPr>
        <w:t>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autoSpaceDE w:val="0"/>
        <w:autoSpaceDN w:val="0"/>
        <w:adjustRightInd w:val="0"/>
        <w:ind w:firstLine="643"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1"/>
        <w:tblW w:w="11005"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Align w:val="center"/>
          </w:tcPr>
          <w:p>
            <w:pPr>
              <w:spacing w:line="300" w:lineRule="exact"/>
              <w:jc w:val="center"/>
              <w:rPr>
                <w:rFonts w:ascii="Times New Roman" w:hAnsi="Times New Roman" w:eastAsia="方正书宋_GBK" w:cs="Times New Roman"/>
                <w:b/>
                <w:szCs w:val="24"/>
              </w:rPr>
            </w:pP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FF0000"/>
                <w:szCs w:val="24"/>
              </w:rPr>
            </w:pPr>
            <w:r>
              <w:rPr>
                <w:rFonts w:hint="eastAsia" w:ascii="方正书宋_GBK" w:eastAsia="方正书宋_GBK"/>
                <w:color w:val="000000" w:themeColor="text1"/>
                <w14:textFill>
                  <w14:solidFill>
                    <w14:schemeClr w14:val="tx1"/>
                  </w14:solidFill>
                </w14:textFill>
              </w:rPr>
              <w:t>北戴河新区</w:t>
            </w:r>
            <w:r>
              <w:rPr>
                <w:rFonts w:hint="eastAsia" w:ascii="方正书宋_GBK" w:eastAsia="方正书宋_GBK"/>
                <w:color w:val="000000" w:themeColor="text1"/>
                <w:lang w:eastAsia="zh-CN"/>
                <w14:textFill>
                  <w14:solidFill>
                    <w14:schemeClr w14:val="tx1"/>
                  </w14:solidFill>
                </w14:textFill>
              </w:rPr>
              <w:t>大蒲河街道办事处</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w:t>
            </w:r>
          </w:p>
        </w:tc>
        <w:tc>
          <w:tcPr>
            <w:tcW w:w="1276" w:type="dxa"/>
            <w:vAlign w:val="center"/>
          </w:tcPr>
          <w:p>
            <w:pPr>
              <w:spacing w:line="300" w:lineRule="exact"/>
              <w:jc w:val="center"/>
              <w:rPr>
                <w:rFonts w:hint="eastAsia" w:ascii="方正书宋_GBK" w:eastAsia="方正书宋_GBK"/>
              </w:rPr>
            </w:pP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FF0000"/>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hint="eastAsia"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 xml:space="preserve">  </w:t>
            </w: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sz w:val="32"/>
          <w:szCs w:val="32"/>
          <w:lang w:eastAsia="zh-CN"/>
        </w:rPr>
        <w:t>大蒲河街道办事处</w:t>
      </w:r>
      <w:r>
        <w:rPr>
          <w:rFonts w:ascii="方正仿宋简体" w:hAnsi="Times New Roman" w:eastAsia="方正仿宋简体" w:cs="Times New Roman"/>
          <w:sz w:val="32"/>
          <w:szCs w:val="32"/>
        </w:rPr>
        <w:t>的收支包含在部门预算中。</w:t>
      </w:r>
    </w:p>
    <w:p>
      <w:pPr>
        <w:ind w:firstLine="643"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收入</w:t>
      </w:r>
      <w:r>
        <w:rPr>
          <w:rFonts w:hint="eastAsia" w:ascii="方正仿宋简体" w:hAnsi="Times New Roman" w:eastAsia="方正仿宋简体" w:cs="Times New Roman"/>
          <w:sz w:val="32"/>
          <w:szCs w:val="32"/>
        </w:rPr>
        <w:t>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放映本部门当年全部收入，2017年预算收入606.18万元，其中：一般公共预算拨款606.18万元（非限额补助606.18万元）。</w:t>
      </w:r>
    </w:p>
    <w:p>
      <w:pPr>
        <w:ind w:left="64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支</w:t>
      </w:r>
      <w:r>
        <w:rPr>
          <w:rFonts w:hint="eastAsia" w:ascii="方正仿宋简体" w:hAnsi="Times New Roman" w:eastAsia="方正仿宋简体" w:cs="Times New Roman"/>
          <w:sz w:val="32"/>
          <w:szCs w:val="32"/>
        </w:rPr>
        <w:t>出说明</w:t>
      </w:r>
    </w:p>
    <w:p>
      <w:pPr>
        <w:ind w:firstLine="480" w:firstLineChars="15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部门预算收支总表支出栏、基本支出表、项目支出表按经济分类和支出功能分类科目编制，反映部门预算中支出预算的总体情况。2017年部门支出预算为606.18万元，其中基本支出473.68万元，包括人员经费412.39万元和日常公用经费61.29万元；项目支出132.50万元，全部为本级支出。</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3.</w:t>
      </w:r>
      <w:r>
        <w:rPr>
          <w:rFonts w:ascii="方正仿宋简体" w:hAnsi="Times New Roman" w:eastAsia="方正仿宋简体" w:cs="Times New Roman"/>
          <w:b/>
          <w:sz w:val="32"/>
          <w:szCs w:val="32"/>
        </w:rPr>
        <w:t>比上年增减情况</w:t>
      </w:r>
    </w:p>
    <w:p>
      <w:pP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2017年部门预算较2016年增长</w:t>
      </w:r>
      <w:r>
        <w:rPr>
          <w:rFonts w:hint="eastAsia" w:ascii="方正仿宋简体" w:hAnsi="Times New Roman" w:eastAsia="方正仿宋简体" w:cs="Times New Roman"/>
          <w:color w:val="000000" w:themeColor="text1"/>
          <w:sz w:val="32"/>
          <w:szCs w:val="32"/>
          <w:lang w:val="en-US" w:eastAsia="zh-CN"/>
          <w14:textFill>
            <w14:solidFill>
              <w14:schemeClr w14:val="tx1"/>
            </w14:solidFill>
          </w14:textFill>
        </w:rPr>
        <w:t>218.85</w:t>
      </w:r>
      <w:r>
        <w:rPr>
          <w:rFonts w:hint="eastAsia" w:ascii="方正仿宋简体" w:hAnsi="Times New Roman" w:eastAsia="方正仿宋简体" w:cs="Times New Roman"/>
          <w:sz w:val="32"/>
          <w:szCs w:val="32"/>
        </w:rPr>
        <w:t>万元，其中：基本支出增长</w:t>
      </w:r>
      <w:r>
        <w:rPr>
          <w:rFonts w:hint="eastAsia" w:ascii="方正仿宋简体" w:hAnsi="Times New Roman" w:eastAsia="方正仿宋简体" w:cs="Times New Roman"/>
          <w:sz w:val="32"/>
          <w:szCs w:val="32"/>
          <w:lang w:val="en-US" w:eastAsia="zh-CN"/>
        </w:rPr>
        <w:t>206.8</w:t>
      </w:r>
      <w:r>
        <w:rPr>
          <w:rFonts w:hint="eastAsia" w:ascii="方正仿宋简体" w:hAnsi="Times New Roman" w:eastAsia="方正仿宋简体" w:cs="Times New Roman"/>
          <w:sz w:val="32"/>
          <w:szCs w:val="32"/>
        </w:rPr>
        <w:t>万元，主要是增加人员经费；项目支出增长</w:t>
      </w:r>
      <w:r>
        <w:rPr>
          <w:rFonts w:hint="eastAsia" w:ascii="方正仿宋简体" w:hAnsi="Times New Roman" w:eastAsia="方正仿宋简体" w:cs="Times New Roman"/>
          <w:sz w:val="32"/>
          <w:szCs w:val="32"/>
          <w:lang w:val="en-US" w:eastAsia="zh-CN"/>
        </w:rPr>
        <w:t>12.05</w:t>
      </w:r>
      <w:r>
        <w:rPr>
          <w:rFonts w:hint="eastAsia" w:ascii="方正仿宋简体" w:hAnsi="Times New Roman" w:eastAsia="方正仿宋简体" w:cs="Times New Roman"/>
          <w:sz w:val="32"/>
          <w:szCs w:val="32"/>
        </w:rPr>
        <w:t>万元，主要是</w:t>
      </w:r>
      <w:r>
        <w:rPr>
          <w:rFonts w:hint="eastAsia" w:ascii="方正仿宋简体" w:hAnsi="Times New Roman" w:eastAsia="方正仿宋简体" w:cs="Times New Roman"/>
          <w:sz w:val="32"/>
          <w:szCs w:val="32"/>
          <w:lang w:eastAsia="zh-CN"/>
        </w:rPr>
        <w:t>本级</w:t>
      </w:r>
      <w:r>
        <w:rPr>
          <w:rFonts w:hint="eastAsia" w:ascii="方正仿宋简体" w:hAnsi="Times New Roman" w:eastAsia="方正仿宋简体" w:cs="Times New Roman"/>
          <w:sz w:val="32"/>
          <w:szCs w:val="32"/>
        </w:rPr>
        <w:t>支出增加。</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机关运行经费共计安排</w:t>
      </w:r>
      <w:r>
        <w:rPr>
          <w:rFonts w:hint="eastAsia" w:ascii="方正仿宋简体" w:hAnsi="Times New Roman" w:eastAsia="方正仿宋简体" w:cs="Times New Roman"/>
          <w:color w:val="000000" w:themeColor="text1"/>
          <w:sz w:val="32"/>
          <w:szCs w:val="32"/>
          <w:lang w:val="en-US" w:eastAsia="zh-CN"/>
          <w14:textFill>
            <w14:solidFill>
              <w14:schemeClr w14:val="tx1"/>
            </w14:solidFill>
          </w14:textFill>
        </w:rPr>
        <w:t>61.29</w:t>
      </w:r>
      <w:r>
        <w:rPr>
          <w:rFonts w:hint="eastAsia" w:ascii="方正仿宋简体"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rPr>
          <w:rFonts w:ascii="黑体" w:hAnsi="黑体" w:eastAsia="黑体" w:cs="Times New Roman"/>
          <w:color w:val="000000" w:themeColor="text1"/>
          <w:sz w:val="32"/>
          <w:szCs w:val="32"/>
          <w14:textFill>
            <w14:solidFill>
              <w14:schemeClr w14:val="tx1"/>
            </w14:solidFill>
          </w14:textFill>
        </w:rPr>
      </w:pPr>
      <w:r>
        <w:rPr>
          <w:rFonts w:hint="eastAsia" w:ascii="方正仿宋简体" w:hAnsi="Times New Roman" w:eastAsia="方正仿宋简体" w:cs="Times New Roman"/>
          <w:color w:val="000000" w:themeColor="text1"/>
          <w:sz w:val="32"/>
          <w:szCs w:val="32"/>
          <w14:textFill>
            <w14:solidFill>
              <w14:schemeClr w14:val="tx1"/>
            </w14:solidFill>
          </w14:textFill>
        </w:rPr>
        <w:t>2017年，财政拨款“三公”经费预算安排</w:t>
      </w:r>
      <w:r>
        <w:rPr>
          <w:rFonts w:hint="eastAsia" w:ascii="方正仿宋简体" w:hAnsi="Times New Roman" w:eastAsia="方正仿宋简体" w:cs="Times New Roman"/>
          <w:color w:val="000000" w:themeColor="text1"/>
          <w:sz w:val="32"/>
          <w:szCs w:val="32"/>
          <w:lang w:val="en-US" w:eastAsia="zh-CN"/>
          <w14:textFill>
            <w14:solidFill>
              <w14:schemeClr w14:val="tx1"/>
            </w14:solidFill>
          </w14:textFill>
        </w:rPr>
        <w:t>10</w:t>
      </w:r>
      <w:r>
        <w:rPr>
          <w:rFonts w:hint="eastAsia" w:ascii="方正仿宋简体" w:hAnsi="Times New Roman" w:eastAsia="方正仿宋简体" w:cs="Times New Roman"/>
          <w:color w:val="000000" w:themeColor="text1"/>
          <w:sz w:val="32"/>
          <w:szCs w:val="32"/>
          <w14:textFill>
            <w14:solidFill>
              <w14:schemeClr w14:val="tx1"/>
            </w14:solidFill>
          </w14:textFill>
        </w:rPr>
        <w:t>万元，其中：因公出国（境）费0万元；公务用车购置及运维费</w:t>
      </w:r>
      <w:r>
        <w:rPr>
          <w:rFonts w:hint="eastAsia" w:ascii="方正仿宋简体" w:hAnsi="Times New Roman" w:eastAsia="方正仿宋简体" w:cs="Times New Roman"/>
          <w:color w:val="000000" w:themeColor="text1"/>
          <w:sz w:val="32"/>
          <w:szCs w:val="32"/>
          <w:lang w:val="en-US" w:eastAsia="zh-CN"/>
          <w14:textFill>
            <w14:solidFill>
              <w14:schemeClr w14:val="tx1"/>
            </w14:solidFill>
          </w14:textFill>
        </w:rPr>
        <w:t>0</w:t>
      </w:r>
      <w:r>
        <w:rPr>
          <w:rFonts w:hint="eastAsia" w:ascii="方正仿宋简体" w:hAnsi="Times New Roman" w:eastAsia="方正仿宋简体" w:cs="Times New Roman"/>
          <w:color w:val="000000" w:themeColor="text1"/>
          <w:sz w:val="32"/>
          <w:szCs w:val="32"/>
          <w14:textFill>
            <w14:solidFill>
              <w14:schemeClr w14:val="tx1"/>
            </w14:solidFill>
          </w14:textFill>
        </w:rPr>
        <w:t>万元（其中：公务用车运行费</w:t>
      </w:r>
      <w:r>
        <w:rPr>
          <w:rFonts w:hint="eastAsia" w:ascii="方正仿宋简体" w:hAnsi="Times New Roman" w:eastAsia="方正仿宋简体" w:cs="Times New Roman"/>
          <w:color w:val="000000" w:themeColor="text1"/>
          <w:sz w:val="32"/>
          <w:szCs w:val="32"/>
          <w:lang w:val="en-US" w:eastAsia="zh-CN"/>
          <w14:textFill>
            <w14:solidFill>
              <w14:schemeClr w14:val="tx1"/>
            </w14:solidFill>
          </w14:textFill>
        </w:rPr>
        <w:t>0</w:t>
      </w:r>
      <w:r>
        <w:rPr>
          <w:rFonts w:hint="eastAsia" w:ascii="方正仿宋简体" w:hAnsi="Times New Roman" w:eastAsia="方正仿宋简体" w:cs="Times New Roman"/>
          <w:color w:val="000000" w:themeColor="text1"/>
          <w:sz w:val="32"/>
          <w:szCs w:val="32"/>
          <w14:textFill>
            <w14:solidFill>
              <w14:schemeClr w14:val="tx1"/>
            </w14:solidFill>
          </w14:textFill>
        </w:rPr>
        <w:t>万元)；公务接待费</w:t>
      </w:r>
      <w:r>
        <w:rPr>
          <w:rFonts w:hint="eastAsia" w:ascii="方正仿宋简体" w:hAnsi="Times New Roman" w:eastAsia="方正仿宋简体" w:cs="Times New Roman"/>
          <w:color w:val="000000" w:themeColor="text1"/>
          <w:sz w:val="32"/>
          <w:szCs w:val="32"/>
          <w:lang w:val="en-US" w:eastAsia="zh-CN"/>
          <w14:textFill>
            <w14:solidFill>
              <w14:schemeClr w14:val="tx1"/>
            </w14:solidFill>
          </w14:textFill>
        </w:rPr>
        <w:t>10</w:t>
      </w:r>
      <w:r>
        <w:rPr>
          <w:rFonts w:hint="eastAsia" w:ascii="方正仿宋简体" w:hAnsi="Times New Roman" w:eastAsia="方正仿宋简体" w:cs="Times New Roman"/>
          <w:color w:val="000000" w:themeColor="text1"/>
          <w:sz w:val="32"/>
          <w:szCs w:val="32"/>
          <w14:textFill>
            <w14:solidFill>
              <w14:schemeClr w14:val="tx1"/>
            </w14:solidFill>
          </w14:textFill>
        </w:rPr>
        <w:t xml:space="preserve">万元。“三公”经费较上年下降 </w:t>
      </w:r>
      <w:r>
        <w:rPr>
          <w:rFonts w:hint="eastAsia" w:ascii="方正仿宋简体" w:hAnsi="Times New Roman" w:eastAsia="方正仿宋简体" w:cs="Times New Roman"/>
          <w:color w:val="000000" w:themeColor="text1"/>
          <w:sz w:val="32"/>
          <w:szCs w:val="32"/>
          <w:lang w:val="en-US" w:eastAsia="zh-CN"/>
          <w14:textFill>
            <w14:solidFill>
              <w14:schemeClr w14:val="tx1"/>
            </w14:solidFill>
          </w14:textFill>
        </w:rPr>
        <w:t>55.75</w:t>
      </w:r>
      <w:r>
        <w:rPr>
          <w:rFonts w:hint="eastAsia" w:ascii="方正仿宋简体" w:hAnsi="Times New Roman" w:eastAsia="方正仿宋简体" w:cs="Times New Roman"/>
          <w:color w:val="000000" w:themeColor="text1"/>
          <w:sz w:val="32"/>
          <w:szCs w:val="32"/>
          <w14:textFill>
            <w14:solidFill>
              <w14:schemeClr w14:val="tx1"/>
            </w14:solidFill>
          </w14:textFill>
        </w:rPr>
        <w:t xml:space="preserve"> %，主要原因是今年对“三公”经费等一般性支出进行了压减。</w:t>
      </w:r>
    </w:p>
    <w:p>
      <w:pPr>
        <w:ind w:firstLine="640"/>
        <w:rPr>
          <w:rFonts w:hint="eastAsia" w:ascii="黑体" w:hAnsi="黑体" w:eastAsia="黑体" w:cs="Times New Roman"/>
          <w:sz w:val="32"/>
          <w:szCs w:val="32"/>
        </w:rPr>
      </w:pPr>
    </w:p>
    <w:p>
      <w:pPr>
        <w:ind w:firstLine="640"/>
        <w:rPr>
          <w:rFonts w:hint="eastAsia" w:ascii="黑体" w:hAnsi="黑体" w:eastAsia="黑体" w:cs="Times New Roman"/>
          <w:sz w:val="32"/>
          <w:szCs w:val="32"/>
        </w:rPr>
      </w:pPr>
    </w:p>
    <w:p>
      <w:pPr>
        <w:ind w:firstLine="640"/>
        <w:rPr>
          <w:rFonts w:hint="eastAsia" w:ascii="黑体" w:hAnsi="黑体" w:eastAsia="黑体" w:cs="Times New Roman"/>
          <w:sz w:val="32"/>
          <w:szCs w:val="32"/>
        </w:rPr>
      </w:pPr>
    </w:p>
    <w:p>
      <w:pPr>
        <w:ind w:firstLine="640"/>
        <w:rPr>
          <w:rFonts w:hint="eastAsia"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hint="eastAsia" w:ascii="方正仿宋简体" w:hAnsi="Times New Roman" w:eastAsia="方正仿宋简体" w:cs="Times New Roman"/>
          <w:b/>
          <w:sz w:val="32"/>
          <w:szCs w:val="32"/>
        </w:rPr>
      </w:pPr>
      <w:bookmarkStart w:id="0" w:name="_Toc471398463"/>
    </w:p>
    <w:tbl>
      <w:tblPr>
        <w:tblStyle w:val="11"/>
        <w:tblW w:w="129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5"/>
        <w:gridCol w:w="1489"/>
        <w:gridCol w:w="3445"/>
        <w:gridCol w:w="1355"/>
        <w:gridCol w:w="1245"/>
        <w:gridCol w:w="3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4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秦皇岛北戴河新区大蒲河街道办事处</w:t>
            </w:r>
          </w:p>
        </w:tc>
        <w:tc>
          <w:tcPr>
            <w:tcW w:w="14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管理处日常工作</w:t>
            </w:r>
          </w:p>
        </w:tc>
        <w:tc>
          <w:tcPr>
            <w:tcW w:w="34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执行上级政府及管理处党委的指示、决定，协调各部门落实。做好党政、组织、宣传工作。</w:t>
            </w:r>
          </w:p>
        </w:tc>
        <w:tc>
          <w:tcPr>
            <w:tcW w:w="13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更好的完成上级下达的各项工作，管理好党务、组织工作，向社会做好各项方针政策的宣传工作。</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上传下达，通知和报送信息、公章管理；公文、档案管理；办公采购、机关及食堂的后勤保障、党员管理，办理人事工作。汇总单位信息，上报宣传部，订阅党报党刊。负责纪检、统战、民族宗教、工会、共青团、妇联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涉农事务管理</w:t>
            </w:r>
          </w:p>
        </w:tc>
        <w:tc>
          <w:tcPr>
            <w:tcW w:w="344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做好三农工作，负责农村经济的统计、普查工作。</w:t>
            </w:r>
          </w:p>
        </w:tc>
        <w:tc>
          <w:tcPr>
            <w:tcW w:w="135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执行好各种惠农政策，惠农资金、各项专项资金拨付到位，不挪用、截留。</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农村财政、财务管理</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减轻农民负担有关政策，贯彻执行上级文件精神，加强对农村财务工作管理，切实做好村财务代理，加强财务监督力度，严格执行管理制度。核发农业支持保护补贴资金，做好数据系统录入、上报工作。为老百姓办好惠农一卡通，确保惠农资金直接打到一卡通上。加强财政资金监督、管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森林防火</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贯彻执行上级文件精神，配合林业局做好僧林防火工作。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农村经济统计、普查</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搞好财务、资产收益年报与各类农经统计报表的编报工作你，认真做好经济普查工作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社会事务管理</w:t>
            </w:r>
          </w:p>
        </w:tc>
        <w:tc>
          <w:tcPr>
            <w:tcW w:w="344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做好计生、民生工作</w:t>
            </w:r>
          </w:p>
        </w:tc>
        <w:tc>
          <w:tcPr>
            <w:tcW w:w="135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贯彻执行国家计划生育政策。解决计生、民生各类问题。</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计生事务管理</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做好法规、统计、宣传、协会、四术、流动人口、基层组织工作以及计生各种奖补资金的统计发放工作。负责新型农村合作医疗保险工作。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民生事务管理</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灾、核灾、记灾、上报灾情，协助主管接收局接收、分配、管理救灾款物的使用，指导灾民开展生产自救，重建家园；低保、五保、医疗救助的审核，上报。统计80岁以上老人数量，发放高龄补贴。拥军优属工作和革命伤残军人及现役军人、复员退伍军人、参战民兵民工、烈军属等优抚对象的抚恤、补助、优待工作。收缴城乡居民养老保险金，如实录入养老保险系统，按月发放60岁以上人员的养老保险金。移民生产生活补贴的发放，移民人数的核查残疾人统计、核查，残疾人扶贫资金、托养资金的发放。负责本辖区内低保、五保、困难户等危房改造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土地规划管理工作</w:t>
            </w:r>
          </w:p>
        </w:tc>
        <w:tc>
          <w:tcPr>
            <w:tcW w:w="344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管理处范围内土地规划管理</w:t>
            </w:r>
          </w:p>
        </w:tc>
        <w:tc>
          <w:tcPr>
            <w:tcW w:w="135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做好辖区内土地规划、大气污染治理工作</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负责本辖区13个行政村的土地规划。</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负责本辖区内农用地转用，土地征用报批的前期准备工作。负责土地收购储备的前期核查工作。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负责民居工程、市政公用设施的建设管理</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负责本辖区内新民居建设工作，负责道路、桥梁、排水、园林绿化、路灯、燃气等工作。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大气污染防治工作</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严令禁止露天焚烧行为，推进农村污染综合治理实施农业废弃物资源化利用，水污染防治全面提升农村污水处理和垃圾处理水平。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综合治理工作</w:t>
            </w:r>
          </w:p>
        </w:tc>
        <w:tc>
          <w:tcPr>
            <w:tcW w:w="344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安全生产、司法、信访维稳</w:t>
            </w:r>
          </w:p>
        </w:tc>
        <w:tc>
          <w:tcPr>
            <w:tcW w:w="135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做好安全生产和社区矫正、信访稳定工作</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宣传、贯彻、执行相关法律法规，定期向上级报告安全生产工作情况。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社区矫正</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协助管理社区矫正人员，宣传普及法律知识。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信访稳定</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依法治访、信访稳控、解决矛盾纠纷。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综合执法工作</w:t>
            </w:r>
          </w:p>
        </w:tc>
        <w:tc>
          <w:tcPr>
            <w:tcW w:w="344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做好执法工作</w:t>
            </w:r>
          </w:p>
        </w:tc>
        <w:tc>
          <w:tcPr>
            <w:tcW w:w="135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负责综合执法和违法案件处理工作</w:t>
            </w: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负责综合执法工作</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根据有关法律、法规、规章规定和上级授权，负责辖区综合行政执法和行使相对集中行政处罚工作。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vMerge w:val="continue"/>
            <w:shd w:val="clear" w:color="auto" w:fill="auto"/>
            <w:vAlign w:val="center"/>
          </w:tcPr>
          <w:p>
            <w:pPr>
              <w:rPr>
                <w:rFonts w:hint="eastAsia" w:ascii="宋体" w:hAnsi="宋体" w:eastAsia="宋体" w:cs="宋体"/>
                <w:i w:val="0"/>
                <w:color w:val="000000"/>
                <w:sz w:val="18"/>
                <w:szCs w:val="18"/>
                <w:u w:val="none"/>
              </w:rPr>
            </w:pPr>
          </w:p>
        </w:tc>
        <w:tc>
          <w:tcPr>
            <w:tcW w:w="1489" w:type="dxa"/>
            <w:vMerge w:val="continue"/>
            <w:shd w:val="clear" w:color="auto" w:fill="auto"/>
            <w:vAlign w:val="center"/>
          </w:tcPr>
          <w:p>
            <w:pPr>
              <w:rPr>
                <w:rFonts w:hint="eastAsia" w:ascii="宋体" w:hAnsi="宋体" w:eastAsia="宋体" w:cs="宋体"/>
                <w:i w:val="0"/>
                <w:color w:val="000000"/>
                <w:sz w:val="18"/>
                <w:szCs w:val="18"/>
                <w:u w:val="none"/>
              </w:rPr>
            </w:pPr>
          </w:p>
        </w:tc>
        <w:tc>
          <w:tcPr>
            <w:tcW w:w="3445" w:type="dxa"/>
            <w:vMerge w:val="continue"/>
            <w:shd w:val="clear" w:color="auto" w:fill="auto"/>
            <w:vAlign w:val="center"/>
          </w:tcPr>
          <w:p>
            <w:pPr>
              <w:rPr>
                <w:rFonts w:hint="eastAsia" w:ascii="宋体" w:hAnsi="宋体" w:eastAsia="宋体" w:cs="宋体"/>
                <w:i w:val="0"/>
                <w:color w:val="000000"/>
                <w:sz w:val="18"/>
                <w:szCs w:val="18"/>
                <w:u w:val="none"/>
              </w:rPr>
            </w:pPr>
          </w:p>
        </w:tc>
        <w:tc>
          <w:tcPr>
            <w:tcW w:w="1355" w:type="dxa"/>
            <w:vMerge w:val="continue"/>
            <w:shd w:val="clear" w:color="auto" w:fill="auto"/>
            <w:vAlign w:val="center"/>
          </w:tcPr>
          <w:p>
            <w:pPr>
              <w:rPr>
                <w:rFonts w:hint="eastAsia" w:ascii="宋体" w:hAnsi="宋体" w:eastAsia="宋体" w:cs="宋体"/>
                <w:i w:val="0"/>
                <w:color w:val="000000"/>
                <w:sz w:val="18"/>
                <w:szCs w:val="18"/>
                <w:u w:val="none"/>
              </w:rPr>
            </w:pPr>
          </w:p>
        </w:tc>
        <w:tc>
          <w:tcPr>
            <w:tcW w:w="12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负责违法案件处理工作</w:t>
            </w:r>
          </w:p>
        </w:tc>
        <w:tc>
          <w:tcPr>
            <w:tcW w:w="32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在职权范围内已发查处群众举报的各类违法、违规行为，负责违法案件立案查处、卷宗归档工作。</w:t>
            </w:r>
          </w:p>
        </w:tc>
      </w:tr>
    </w:tbl>
    <w:p>
      <w:pPr>
        <w:ind w:firstLine="643" w:firstLineChars="200"/>
        <w:jc w:val="left"/>
        <w:rPr>
          <w:rFonts w:hint="eastAsia" w:ascii="方正仿宋简体" w:hAnsi="Times New Roman" w:eastAsia="方正仿宋简体" w:cs="Times New Roman"/>
          <w:b/>
          <w:sz w:val="32"/>
          <w:szCs w:val="32"/>
        </w:rPr>
      </w:pPr>
    </w:p>
    <w:p>
      <w:pPr>
        <w:ind w:firstLine="643" w:firstLineChars="200"/>
        <w:jc w:val="left"/>
        <w:rPr>
          <w:rFonts w:hint="eastAsia" w:ascii="方正仿宋简体" w:hAnsi="Times New Roman" w:eastAsia="方正仿宋简体" w:cs="Times New Roman"/>
          <w:b/>
          <w:sz w:val="32"/>
          <w:szCs w:val="32"/>
        </w:rPr>
      </w:pPr>
    </w:p>
    <w:p>
      <w:pPr>
        <w:ind w:firstLine="643" w:firstLineChars="200"/>
        <w:jc w:val="left"/>
        <w:rPr>
          <w:rFonts w:hint="eastAsia" w:ascii="方正仿宋简体" w:hAnsi="Times New Roman" w:eastAsia="方正仿宋简体" w:cs="Times New Roman"/>
          <w:b/>
          <w:sz w:val="32"/>
          <w:szCs w:val="32"/>
        </w:rPr>
      </w:pPr>
    </w:p>
    <w:bookmarkEnd w:id="0"/>
    <w:p>
      <w:pPr>
        <w:autoSpaceDE w:val="0"/>
        <w:autoSpaceDN w:val="0"/>
        <w:adjustRightInd w:val="0"/>
        <w:jc w:val="left"/>
        <w:rPr>
          <w:rFonts w:ascii="宋体" w:cs="宋体"/>
          <w:kern w:val="0"/>
          <w:sz w:val="18"/>
          <w:szCs w:val="18"/>
          <w:lang w:val="zh-CN"/>
        </w:rPr>
      </w:pPr>
    </w:p>
    <w:p>
      <w:pPr>
        <w:ind w:firstLine="640"/>
        <w:rPr>
          <w:rFonts w:ascii="Times New Roman" w:hAnsi="Times New Roman" w:eastAsia="方正仿宋_GBK" w:cs="Times New Roman"/>
          <w:color w:val="FF0000"/>
          <w:sz w:val="32"/>
          <w:szCs w:val="24"/>
        </w:rPr>
      </w:pPr>
      <w:r>
        <w:rPr>
          <w:rFonts w:hint="eastAsia" w:ascii="黑体" w:hAnsi="黑体" w:eastAsia="黑体" w:cs="Times New Roman"/>
          <w:sz w:val="32"/>
          <w:szCs w:val="32"/>
        </w:rPr>
        <w:t>六、政府采购预算情况</w:t>
      </w:r>
    </w:p>
    <w:p>
      <w:pPr>
        <w:ind w:firstLine="640"/>
        <w:rPr>
          <w:rFonts w:ascii="方正仿宋简体" w:hAnsi="黑体" w:eastAsia="方正仿宋简体" w:cs="Times New Roman"/>
          <w:sz w:val="32"/>
          <w:szCs w:val="32"/>
        </w:rPr>
      </w:pPr>
      <w:r>
        <w:rPr>
          <w:rFonts w:hint="eastAsia" w:ascii="方正仿宋简体" w:hAnsi="Times New Roman" w:eastAsia="方正仿宋简体" w:cs="Times New Roman"/>
          <w:color w:val="000000" w:themeColor="text1"/>
          <w:sz w:val="32"/>
          <w:szCs w:val="24"/>
          <w14:textFill>
            <w14:solidFill>
              <w14:schemeClr w14:val="tx1"/>
            </w14:solidFill>
          </w14:textFill>
        </w:rPr>
        <w:t>本部门无政府采购预算</w:t>
      </w:r>
      <w:r>
        <w:rPr>
          <w:rFonts w:hint="eastAsia" w:ascii="方正仿宋简体" w:hAnsi="Times New Roman" w:eastAsia="方正仿宋简体" w:cs="Times New Roman"/>
          <w:color w:val="FF0000"/>
          <w:sz w:val="32"/>
          <w:szCs w:val="24"/>
        </w:rPr>
        <w:t>。</w:t>
      </w:r>
    </w:p>
    <w:p>
      <w:pPr>
        <w:ind w:firstLine="64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方正仿宋简体" w:hAnsi="Times New Roman" w:eastAsia="方正仿宋简体" w:cs="Times New Roman"/>
          <w:color w:val="000000" w:themeColor="text1"/>
          <w:sz w:val="32"/>
          <w:szCs w:val="24"/>
          <w14:textFill>
            <w14:solidFill>
              <w14:schemeClr w14:val="tx1"/>
            </w14:solidFill>
          </w14:textFill>
        </w:rPr>
      </w:pPr>
      <w:r>
        <w:rPr>
          <w:rFonts w:hint="eastAsia" w:ascii="方正仿宋简体" w:hAnsi="Times New Roman" w:eastAsia="方正仿宋简体" w:cs="Times New Roman"/>
          <w:color w:val="000000" w:themeColor="text1"/>
          <w:sz w:val="32"/>
          <w:szCs w:val="24"/>
          <w14:textFill>
            <w14:solidFill>
              <w14:schemeClr w14:val="tx1"/>
            </w14:solidFill>
          </w14:textFill>
        </w:rPr>
        <w:t>上年末固定资产金额为</w:t>
      </w:r>
      <w:r>
        <w:rPr>
          <w:rFonts w:hint="eastAsia" w:ascii="方正仿宋简体" w:hAnsi="Times New Roman" w:eastAsia="方正仿宋简体" w:cs="Times New Roman"/>
          <w:color w:val="000000" w:themeColor="text1"/>
          <w:sz w:val="32"/>
          <w:szCs w:val="24"/>
          <w:lang w:val="en-US" w:eastAsia="zh-CN"/>
          <w14:textFill>
            <w14:solidFill>
              <w14:schemeClr w14:val="tx1"/>
            </w14:solidFill>
          </w14:textFill>
        </w:rPr>
        <w:t>51.3936万</w:t>
      </w:r>
      <w:r>
        <w:rPr>
          <w:rFonts w:hint="eastAsia" w:ascii="方正仿宋简体" w:hAnsi="Times New Roman" w:eastAsia="方正仿宋简体" w:cs="Times New Roman"/>
          <w:color w:val="000000" w:themeColor="text1"/>
          <w:sz w:val="32"/>
          <w:szCs w:val="24"/>
          <w14:textFill>
            <w14:solidFill>
              <w14:schemeClr w14:val="tx1"/>
            </w14:solidFill>
          </w14:textFill>
        </w:rPr>
        <w:t>元，本年度</w:t>
      </w:r>
      <w:r>
        <w:rPr>
          <w:rFonts w:hint="eastAsia" w:ascii="方正仿宋简体" w:hAnsi="Times New Roman" w:eastAsia="方正仿宋简体" w:cs="Times New Roman"/>
          <w:color w:val="000000" w:themeColor="text1"/>
          <w:sz w:val="32"/>
          <w:szCs w:val="24"/>
          <w:lang w:eastAsia="zh-CN"/>
          <w14:textFill>
            <w14:solidFill>
              <w14:schemeClr w14:val="tx1"/>
            </w14:solidFill>
          </w14:textFill>
        </w:rPr>
        <w:t>本</w:t>
      </w:r>
      <w:r>
        <w:rPr>
          <w:rFonts w:hint="eastAsia" w:ascii="方正仿宋简体" w:hAnsi="Times New Roman" w:eastAsia="方正仿宋简体" w:cs="Times New Roman"/>
          <w:color w:val="000000" w:themeColor="text1"/>
          <w:sz w:val="32"/>
          <w:szCs w:val="24"/>
          <w14:textFill>
            <w14:solidFill>
              <w14:schemeClr w14:val="tx1"/>
            </w14:solidFill>
          </w14:textFill>
        </w:rPr>
        <w:t>单位拟购置固定资产主要为计算机、一体机、空调、打印机、投影仪等，共计</w:t>
      </w:r>
      <w:r>
        <w:rPr>
          <w:rFonts w:hint="eastAsia" w:ascii="方正仿宋简体" w:hAnsi="Times New Roman" w:eastAsia="方正仿宋简体" w:cs="Times New Roman"/>
          <w:color w:val="000000" w:themeColor="text1"/>
          <w:sz w:val="32"/>
          <w:szCs w:val="24"/>
          <w:lang w:val="en-US" w:eastAsia="zh-CN"/>
          <w14:textFill>
            <w14:solidFill>
              <w14:schemeClr w14:val="tx1"/>
            </w14:solidFill>
          </w14:textFill>
        </w:rPr>
        <w:t>10</w:t>
      </w:r>
      <w:r>
        <w:rPr>
          <w:rFonts w:hint="eastAsia" w:ascii="方正仿宋简体" w:hAnsi="Times New Roman" w:eastAsia="方正仿宋简体" w:cs="Times New Roman"/>
          <w:color w:val="000000" w:themeColor="text1"/>
          <w:sz w:val="32"/>
          <w:szCs w:val="24"/>
          <w14:textFill>
            <w14:solidFill>
              <w14:schemeClr w14:val="tx1"/>
            </w14:solidFill>
          </w14:textFill>
        </w:rPr>
        <w:t>万元，均是</w:t>
      </w:r>
      <w:r>
        <w:rPr>
          <w:rFonts w:hint="eastAsia" w:ascii="方正仿宋简体" w:hAnsi="Times New Roman" w:eastAsia="方正仿宋简体" w:cs="Times New Roman"/>
          <w:color w:val="000000" w:themeColor="text1"/>
          <w:sz w:val="32"/>
          <w:szCs w:val="24"/>
          <w:lang w:val="en-US" w:eastAsia="zh-CN"/>
          <w14:textFill>
            <w14:solidFill>
              <w14:schemeClr w14:val="tx1"/>
            </w14:solidFill>
          </w14:textFill>
        </w:rPr>
        <w:t>5</w:t>
      </w:r>
      <w:bookmarkStart w:id="1" w:name="_GoBack"/>
      <w:bookmarkEnd w:id="1"/>
      <w:r>
        <w:rPr>
          <w:rFonts w:hint="eastAsia" w:ascii="方正仿宋简体" w:hAnsi="Times New Roman" w:eastAsia="方正仿宋简体" w:cs="Times New Roman"/>
          <w:color w:val="000000" w:themeColor="text1"/>
          <w:sz w:val="32"/>
          <w:szCs w:val="24"/>
          <w14:textFill>
            <w14:solidFill>
              <w14:schemeClr w14:val="tx1"/>
            </w14:solidFill>
          </w14:textFill>
        </w:rPr>
        <w:t>万元以下的设备。本年预算拟购置的固定资产为其他固定资产，共计</w:t>
      </w:r>
      <w:r>
        <w:rPr>
          <w:rFonts w:hint="eastAsia" w:ascii="方正仿宋简体" w:hAnsi="Times New Roman" w:eastAsia="方正仿宋简体" w:cs="Times New Roman"/>
          <w:color w:val="000000" w:themeColor="text1"/>
          <w:sz w:val="32"/>
          <w:szCs w:val="24"/>
          <w:lang w:val="en-US" w:eastAsia="zh-CN"/>
          <w14:textFill>
            <w14:solidFill>
              <w14:schemeClr w14:val="tx1"/>
            </w14:solidFill>
          </w14:textFill>
        </w:rPr>
        <w:t>10</w:t>
      </w:r>
      <w:r>
        <w:rPr>
          <w:rFonts w:hint="eastAsia" w:ascii="方正仿宋简体" w:hAnsi="Times New Roman" w:eastAsia="方正仿宋简体" w:cs="Times New Roman"/>
          <w:color w:val="000000" w:themeColor="text1"/>
          <w:sz w:val="32"/>
          <w:szCs w:val="24"/>
          <w14:textFill>
            <w14:solidFill>
              <w14:schemeClr w14:val="tx1"/>
            </w14:solidFill>
          </w14:textFill>
        </w:rPr>
        <w:t>万元,已列入政府采购预算表。</w:t>
      </w:r>
    </w:p>
    <w:p>
      <w:pPr>
        <w:numPr>
          <w:ilvl w:val="0"/>
          <w:numId w:val="0"/>
        </w:numPr>
        <w:rPr>
          <w:rFonts w:ascii="仿宋_GB2312" w:hAnsi="黑体" w:eastAsia="仿宋_GB2312"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无。</w:t>
      </w:r>
    </w:p>
    <w:p>
      <w:pPr>
        <w:ind w:firstLine="640" w:firstLineChars="200"/>
        <w:rPr>
          <w:rFonts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5D5F"/>
    <w:rsid w:val="000B3E8D"/>
    <w:rsid w:val="000C3A19"/>
    <w:rsid w:val="000D3F0D"/>
    <w:rsid w:val="001245BB"/>
    <w:rsid w:val="00241FD4"/>
    <w:rsid w:val="00251B12"/>
    <w:rsid w:val="00296113"/>
    <w:rsid w:val="002F3E58"/>
    <w:rsid w:val="0030542C"/>
    <w:rsid w:val="00311B7A"/>
    <w:rsid w:val="00314C7B"/>
    <w:rsid w:val="00346B63"/>
    <w:rsid w:val="00364058"/>
    <w:rsid w:val="00451871"/>
    <w:rsid w:val="00472923"/>
    <w:rsid w:val="004E3066"/>
    <w:rsid w:val="004E74CD"/>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72D2E"/>
    <w:rsid w:val="00A911E7"/>
    <w:rsid w:val="00A939D9"/>
    <w:rsid w:val="00AB1673"/>
    <w:rsid w:val="00AD44A3"/>
    <w:rsid w:val="00B20712"/>
    <w:rsid w:val="00B43238"/>
    <w:rsid w:val="00B75216"/>
    <w:rsid w:val="00B91D52"/>
    <w:rsid w:val="00BA1ACD"/>
    <w:rsid w:val="00CA7176"/>
    <w:rsid w:val="00CC163D"/>
    <w:rsid w:val="00CD2773"/>
    <w:rsid w:val="00CE143B"/>
    <w:rsid w:val="00D74B13"/>
    <w:rsid w:val="00D8117B"/>
    <w:rsid w:val="00E167C7"/>
    <w:rsid w:val="00EC47F6"/>
    <w:rsid w:val="00F24692"/>
    <w:rsid w:val="00F66032"/>
    <w:rsid w:val="00F958C2"/>
    <w:rsid w:val="01FB23CB"/>
    <w:rsid w:val="050F0CCD"/>
    <w:rsid w:val="0B0D77B0"/>
    <w:rsid w:val="0C3D5924"/>
    <w:rsid w:val="0D9F1876"/>
    <w:rsid w:val="10ED36A0"/>
    <w:rsid w:val="114917E9"/>
    <w:rsid w:val="15CF6CC8"/>
    <w:rsid w:val="15F42192"/>
    <w:rsid w:val="19541574"/>
    <w:rsid w:val="19C36DAA"/>
    <w:rsid w:val="1A5D684E"/>
    <w:rsid w:val="1ABE55EE"/>
    <w:rsid w:val="1D954D97"/>
    <w:rsid w:val="2A012DF7"/>
    <w:rsid w:val="2E8D21E0"/>
    <w:rsid w:val="303D4E30"/>
    <w:rsid w:val="316E2FA4"/>
    <w:rsid w:val="3507028C"/>
    <w:rsid w:val="3595643A"/>
    <w:rsid w:val="38E01BC5"/>
    <w:rsid w:val="3CD42DDC"/>
    <w:rsid w:val="3CD662BD"/>
    <w:rsid w:val="429960CF"/>
    <w:rsid w:val="45C76287"/>
    <w:rsid w:val="471D5503"/>
    <w:rsid w:val="492C0AE6"/>
    <w:rsid w:val="4A5B700A"/>
    <w:rsid w:val="4DF57B76"/>
    <w:rsid w:val="541C1C0A"/>
    <w:rsid w:val="55145A25"/>
    <w:rsid w:val="55383E38"/>
    <w:rsid w:val="5911172D"/>
    <w:rsid w:val="59870472"/>
    <w:rsid w:val="5E731884"/>
    <w:rsid w:val="606F147E"/>
    <w:rsid w:val="67706CC4"/>
    <w:rsid w:val="678A783D"/>
    <w:rsid w:val="685B7F7B"/>
    <w:rsid w:val="6C053E44"/>
    <w:rsid w:val="6CA86ED0"/>
    <w:rsid w:val="724C7A91"/>
    <w:rsid w:val="72617A36"/>
    <w:rsid w:val="7EB2342C"/>
    <w:rsid w:val="7FBC79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0"/>
    <w:rPr>
      <w:b/>
      <w:bCs/>
    </w:rPr>
  </w:style>
  <w:style w:type="paragraph" w:styleId="3">
    <w:name w:val="annotation text"/>
    <w:basedOn w:val="1"/>
    <w:link w:val="14"/>
    <w:unhideWhenUsed/>
    <w:qFormat/>
    <w:uiPriority w:val="0"/>
    <w:pPr>
      <w:jc w:val="left"/>
    </w:pPr>
  </w:style>
  <w:style w:type="paragraph" w:styleId="4">
    <w:name w:val="Balloon Text"/>
    <w:basedOn w:val="1"/>
    <w:link w:val="16"/>
    <w:unhideWhenUsed/>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toc 2"/>
    <w:basedOn w:val="1"/>
    <w:next w:val="1"/>
    <w:qFormat/>
    <w:uiPriority w:val="0"/>
    <w:pPr>
      <w:ind w:left="420" w:leftChars="200"/>
    </w:pPr>
    <w:rPr>
      <w:rFonts w:ascii="Times New Roman" w:hAnsi="Times New Roman" w:cs="Times New Roman"/>
      <w:szCs w:val="24"/>
    </w:rPr>
  </w:style>
  <w:style w:type="character" w:styleId="10">
    <w:name w:val="annotation reference"/>
    <w:basedOn w:val="9"/>
    <w:unhideWhenUsed/>
    <w:qFormat/>
    <w:uiPriority w:val="0"/>
    <w:rPr>
      <w:sz w:val="21"/>
      <w:szCs w:val="21"/>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批注文字 Char"/>
    <w:basedOn w:val="9"/>
    <w:link w:val="3"/>
    <w:semiHidden/>
    <w:qFormat/>
    <w:uiPriority w:val="0"/>
    <w:rPr>
      <w:rFonts w:ascii="Calibri" w:hAnsi="Calibri" w:cs="黑体"/>
      <w:kern w:val="2"/>
      <w:sz w:val="21"/>
      <w:szCs w:val="22"/>
    </w:rPr>
  </w:style>
  <w:style w:type="character" w:customStyle="1" w:styleId="15">
    <w:name w:val="批注主题 Char"/>
    <w:basedOn w:val="14"/>
    <w:link w:val="2"/>
    <w:semiHidden/>
    <w:qFormat/>
    <w:uiPriority w:val="0"/>
    <w:rPr>
      <w:rFonts w:ascii="Calibri" w:hAnsi="Calibri" w:cs="黑体"/>
      <w:b/>
      <w:bCs/>
      <w:kern w:val="2"/>
      <w:sz w:val="21"/>
      <w:szCs w:val="22"/>
    </w:rPr>
  </w:style>
  <w:style w:type="character" w:customStyle="1" w:styleId="16">
    <w:name w:val="批注框文本 Char"/>
    <w:basedOn w:val="9"/>
    <w:link w:val="4"/>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290</Words>
  <Characters>1655</Characters>
  <Lines>13</Lines>
  <Paragraphs>3</Paragraphs>
  <ScaleCrop>false</ScaleCrop>
  <LinksUpToDate>false</LinksUpToDate>
  <CharactersWithSpaces>1942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2017-02-07T01:57:00Z</cp:lastPrinted>
  <dcterms:modified xsi:type="dcterms:W3CDTF">2017-04-27T07:46:10Z</dcterms:modified>
  <dc:title>河北省2017年部门预算信息公开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