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E1" w:rsidRPr="00D8117B" w:rsidRDefault="00F2469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8117B">
        <w:rPr>
          <w:rFonts w:ascii="方正小标宋简体" w:eastAsia="方正小标宋简体" w:hAnsi="Times New Roman" w:cs="Times New Roman" w:hint="eastAsia"/>
          <w:sz w:val="44"/>
          <w:szCs w:val="44"/>
        </w:rPr>
        <w:t>北戴河新区</w:t>
      </w:r>
      <w:r w:rsidR="00A3183B" w:rsidRPr="00A3183B">
        <w:rPr>
          <w:rFonts w:ascii="方正小标宋简体" w:eastAsia="方正小标宋简体" w:hAnsi="Times New Roman" w:cs="Times New Roman" w:hint="eastAsia"/>
          <w:sz w:val="44"/>
          <w:szCs w:val="44"/>
        </w:rPr>
        <w:t>财政局</w:t>
      </w:r>
      <w:r w:rsidRPr="00D8117B">
        <w:rPr>
          <w:rFonts w:ascii="方正小标宋简体" w:eastAsia="方正小标宋简体" w:hAnsi="Times New Roman" w:cs="Times New Roman" w:hint="eastAsia"/>
          <w:sz w:val="44"/>
          <w:szCs w:val="44"/>
        </w:rPr>
        <w:t>2017年部门预算信息公开</w:t>
      </w:r>
      <w:r w:rsidR="000D3F0D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751FE1" w:rsidRPr="00D8117B" w:rsidRDefault="00F24692">
      <w:pPr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sz w:val="32"/>
          <w:szCs w:val="32"/>
        </w:rPr>
        <w:t>按照《预算法》、《地方预决算公开操作规程》和《河北省省级预算公开办法》规定，现将2017年部门预算公开如下：</w:t>
      </w:r>
    </w:p>
    <w:p w:rsidR="00751FE1" w:rsidRDefault="00F24692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一、部门职责及机构设置情况</w:t>
      </w:r>
    </w:p>
    <w:p w:rsidR="004C0D80" w:rsidRPr="004C0D80" w:rsidRDefault="00F24692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部门</w:t>
      </w:r>
      <w:r w:rsidRPr="00D8117B">
        <w:rPr>
          <w:rFonts w:ascii="方正仿宋简体" w:eastAsia="方正仿宋简体" w:hAnsi="Times New Roman" w:cs="Times New Roman"/>
          <w:b/>
          <w:sz w:val="32"/>
          <w:szCs w:val="32"/>
        </w:rPr>
        <w:t>职责：</w:t>
      </w:r>
      <w:r w:rsidR="004C0D80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监督实施财政、预算、财务、会计管理的有关规章制度；分析预测宏观经济形势，提出运用财税政策实施宏观调控的建议；承担财政预算管理的责任，负责编制年度预决算并组织执行；组织制定经费开支标准、定额，审核批复部门（单位）的年度预决算；承担财政国库管理的责任；负责政府非税收入和政府基金管理；负责建立政府预算体系、税政管理和国有资产管理以及社会保险基金的监管等工作；执行国家外债管理政策和地方政府外债管理规定，实施管理国内外债权、债务；负责会计管理和财政投资评审工作；负责监督检查财税法规、政策的执行情况，实施对财政性资金的监督和绩效评价；负责政府和社会资本合作、政府投资基金管理工作。挂金融工作办公室牌子。</w:t>
      </w: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4C0D80" w:rsidRDefault="004C0D80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</w:p>
    <w:p w:rsidR="00751FE1" w:rsidRPr="00D8117B" w:rsidRDefault="00F24692" w:rsidP="004C0D80">
      <w:pPr>
        <w:snapToGrid w:val="0"/>
        <w:spacing w:line="520" w:lineRule="exact"/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lastRenderedPageBreak/>
        <w:t>机构设置：</w:t>
      </w:r>
    </w:p>
    <w:p w:rsidR="00751FE1" w:rsidRDefault="00F24692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24"/>
        </w:rPr>
      </w:pPr>
      <w:r>
        <w:rPr>
          <w:rFonts w:ascii="Times New Roman" w:eastAsia="方正小标宋_GBK" w:hAnsi="Times New Roman" w:cs="Times New Roman"/>
          <w:sz w:val="32"/>
          <w:szCs w:val="24"/>
        </w:rPr>
        <w:t>部门</w:t>
      </w:r>
      <w:r>
        <w:rPr>
          <w:rFonts w:ascii="Times New Roman" w:eastAsia="方正小标宋_GBK" w:hAnsi="Times New Roman" w:cs="Times New Roman" w:hint="eastAsia"/>
          <w:sz w:val="32"/>
          <w:szCs w:val="24"/>
        </w:rPr>
        <w:t>机构设置情况</w:t>
      </w:r>
    </w:p>
    <w:tbl>
      <w:tblPr>
        <w:tblW w:w="97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751FE1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经费保障形式</w:t>
            </w:r>
          </w:p>
        </w:tc>
      </w:tr>
      <w:tr w:rsidR="00751FE1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751FE1" w:rsidRDefault="00751FE1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Pr="004C0D80" w:rsidRDefault="00F24692" w:rsidP="004C0D80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  <w:r w:rsidRPr="004C0D80">
              <w:rPr>
                <w:rFonts w:ascii="方正书宋_GBK" w:eastAsia="方正书宋_GBK" w:hint="eastAsia"/>
              </w:rPr>
              <w:t>北戴河新区</w:t>
            </w:r>
            <w:r w:rsidR="004C0D80" w:rsidRPr="004C0D80">
              <w:rPr>
                <w:rFonts w:ascii="方正书宋_GBK" w:eastAsia="方正书宋_GBK" w:hint="eastAsia"/>
              </w:rPr>
              <w:t>财政局</w:t>
            </w:r>
          </w:p>
        </w:tc>
        <w:tc>
          <w:tcPr>
            <w:tcW w:w="1134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副处级</w:t>
            </w:r>
          </w:p>
        </w:tc>
        <w:tc>
          <w:tcPr>
            <w:tcW w:w="2902" w:type="dxa"/>
            <w:vAlign w:val="center"/>
          </w:tcPr>
          <w:p w:rsidR="00751FE1" w:rsidRDefault="00F2469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F24692" w:rsidRPr="006509AF" w:rsidRDefault="00F24692">
            <w:pPr>
              <w:spacing w:line="300" w:lineRule="exact"/>
              <w:jc w:val="left"/>
              <w:rPr>
                <w:rFonts w:ascii="方正书宋_GBK" w:eastAsia="方正书宋_GBK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Default="00751FE1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751FE1">
        <w:trPr>
          <w:trHeight w:val="227"/>
          <w:jc w:val="center"/>
        </w:trPr>
        <w:tc>
          <w:tcPr>
            <w:tcW w:w="4417" w:type="dxa"/>
            <w:vAlign w:val="center"/>
          </w:tcPr>
          <w:p w:rsidR="00751FE1" w:rsidRDefault="00751FE1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751FE1" w:rsidRDefault="00751FE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</w:tbl>
    <w:p w:rsidR="00751FE1" w:rsidRDefault="00751FE1"/>
    <w:p w:rsidR="00751FE1" w:rsidRDefault="00F24692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二、部门预算安排的总体情况</w:t>
      </w:r>
    </w:p>
    <w:p w:rsidR="00751FE1" w:rsidRPr="00D8117B" w:rsidRDefault="00F24692">
      <w:pPr>
        <w:ind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/>
          <w:sz w:val="32"/>
          <w:szCs w:val="32"/>
        </w:rPr>
        <w:t>按照预算管理有关规定，</w:t>
      </w:r>
      <w:r w:rsidR="00AB1673" w:rsidRPr="00D8117B">
        <w:rPr>
          <w:rFonts w:ascii="方正仿宋简体" w:eastAsia="方正仿宋简体" w:hAnsi="Times New Roman" w:cs="Times New Roman"/>
          <w:sz w:val="32"/>
          <w:szCs w:val="32"/>
        </w:rPr>
        <w:t>目前</w:t>
      </w:r>
      <w:r w:rsidR="00AB1673" w:rsidRPr="00D8117B">
        <w:rPr>
          <w:rFonts w:ascii="方正仿宋简体" w:eastAsia="方正仿宋简体" w:hAnsi="Times New Roman" w:cs="Times New Roman" w:hint="eastAsia"/>
          <w:sz w:val="32"/>
          <w:szCs w:val="32"/>
        </w:rPr>
        <w:t>我区</w:t>
      </w:r>
      <w:r w:rsidR="00AB1673" w:rsidRPr="00D8117B">
        <w:rPr>
          <w:rFonts w:ascii="方正仿宋简体" w:eastAsia="方正仿宋简体" w:hAnsi="Times New Roman" w:cs="Times New Roman"/>
          <w:sz w:val="32"/>
          <w:szCs w:val="32"/>
        </w:rPr>
        <w:t>部门预算的编制实行综合预算制度，即全部收入和支出都反映</w:t>
      </w:r>
      <w:r w:rsidR="00AB1673" w:rsidRPr="00D8117B">
        <w:rPr>
          <w:rFonts w:ascii="方正仿宋简体" w:eastAsia="方正仿宋简体" w:hAnsi="Times New Roman" w:cs="Times New Roman" w:hint="eastAsia"/>
          <w:sz w:val="32"/>
          <w:szCs w:val="32"/>
        </w:rPr>
        <w:t>在</w:t>
      </w:r>
      <w:r w:rsidRPr="00D8117B">
        <w:rPr>
          <w:rFonts w:ascii="方正仿宋简体" w:eastAsia="方正仿宋简体" w:hAnsi="Times New Roman" w:cs="Times New Roman"/>
          <w:sz w:val="32"/>
          <w:szCs w:val="32"/>
        </w:rPr>
        <w:t>预算中。</w:t>
      </w:r>
      <w:r w:rsidR="004C0D80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财政</w:t>
      </w:r>
      <w:r w:rsidR="00AB1673" w:rsidRPr="004C0D80">
        <w:rPr>
          <w:rFonts w:ascii="方正仿宋简体" w:eastAsia="方正仿宋简体" w:hAnsi="Times New Roman" w:cs="Times New Roman" w:hint="eastAsia"/>
          <w:sz w:val="32"/>
          <w:szCs w:val="32"/>
        </w:rPr>
        <w:t>局</w:t>
      </w:r>
      <w:r w:rsidRPr="00D8117B">
        <w:rPr>
          <w:rFonts w:ascii="方正仿宋简体" w:eastAsia="方正仿宋简体" w:hAnsi="Times New Roman" w:cs="Times New Roman"/>
          <w:sz w:val="32"/>
          <w:szCs w:val="32"/>
        </w:rPr>
        <w:t>的收支包含在部门预算中。</w:t>
      </w:r>
    </w:p>
    <w:p w:rsidR="00751FE1" w:rsidRPr="00D8117B" w:rsidRDefault="00F24692" w:rsidP="00D8117B">
      <w:pPr>
        <w:ind w:firstLineChars="200" w:firstLine="643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1</w:t>
      </w:r>
      <w:r w:rsid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.</w:t>
      </w:r>
      <w:r w:rsidRPr="00D8117B">
        <w:rPr>
          <w:rFonts w:ascii="方正仿宋简体" w:eastAsia="方正仿宋简体" w:hAnsi="Times New Roman" w:cs="Times New Roman"/>
          <w:b/>
          <w:sz w:val="32"/>
          <w:szCs w:val="32"/>
        </w:rPr>
        <w:t>收入说明</w:t>
      </w:r>
    </w:p>
    <w:p w:rsidR="00751FE1" w:rsidRPr="004C0D80" w:rsidRDefault="00F246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C0D80">
        <w:rPr>
          <w:rFonts w:ascii="Times New Roman" w:eastAsia="方正仿宋简体" w:hAnsi="Times New Roman" w:cs="Times New Roman"/>
          <w:sz w:val="32"/>
          <w:szCs w:val="32"/>
        </w:rPr>
        <w:t>放映本部门当年全部收入，</w:t>
      </w:r>
      <w:r w:rsidRPr="004C0D80">
        <w:rPr>
          <w:rFonts w:ascii="Times New Roman" w:eastAsia="方正仿宋简体" w:hAnsi="Times New Roman" w:cs="Times New Roman"/>
          <w:sz w:val="32"/>
          <w:szCs w:val="32"/>
        </w:rPr>
        <w:t>2017</w:t>
      </w:r>
      <w:r w:rsidRPr="004C0D80">
        <w:rPr>
          <w:rFonts w:ascii="Times New Roman" w:eastAsia="方正仿宋简体" w:hAnsi="Times New Roman" w:cs="Times New Roman"/>
          <w:sz w:val="32"/>
          <w:szCs w:val="32"/>
        </w:rPr>
        <w:t>年预算收入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320.02</w:t>
      </w:r>
      <w:r w:rsidRPr="004C0D80">
        <w:rPr>
          <w:rFonts w:ascii="Times New Roman" w:eastAsia="方正仿宋简体" w:hAnsi="Times New Roman" w:cs="Times New Roman"/>
          <w:sz w:val="32"/>
          <w:szCs w:val="32"/>
        </w:rPr>
        <w:t>万元，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全部为</w:t>
      </w:r>
      <w:r w:rsidR="006509AF" w:rsidRPr="004C0D80">
        <w:rPr>
          <w:rFonts w:ascii="Times New Roman" w:eastAsia="方正仿宋简体" w:hAnsi="Times New Roman" w:cs="Times New Roman"/>
          <w:sz w:val="32"/>
          <w:szCs w:val="32"/>
        </w:rPr>
        <w:t>一般公共预算拨款。</w:t>
      </w:r>
    </w:p>
    <w:p w:rsidR="00751FE1" w:rsidRPr="00D8117B" w:rsidRDefault="00D8117B" w:rsidP="00D8117B">
      <w:pPr>
        <w:ind w:left="640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2.</w:t>
      </w:r>
      <w:r w:rsidR="00F24692" w:rsidRPr="00D8117B">
        <w:rPr>
          <w:rFonts w:ascii="方正仿宋简体" w:eastAsia="方正仿宋简体" w:hAnsi="Times New Roman" w:cs="Times New Roman"/>
          <w:b/>
          <w:sz w:val="32"/>
          <w:szCs w:val="32"/>
        </w:rPr>
        <w:t>支出说明</w:t>
      </w:r>
    </w:p>
    <w:p w:rsidR="00751FE1" w:rsidRPr="004C0D80" w:rsidRDefault="00F24692" w:rsidP="004C0D8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="006509AF" w:rsidRPr="004C0D80">
        <w:rPr>
          <w:rFonts w:ascii="Times New Roman" w:eastAsia="方正仿宋简体" w:hAnsi="Times New Roman" w:cs="Times New Roman" w:hint="eastAsia"/>
          <w:sz w:val="32"/>
          <w:szCs w:val="32"/>
        </w:rPr>
        <w:t>部门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预算</w:t>
      </w:r>
      <w:r w:rsidR="006509AF" w:rsidRPr="004C0D80">
        <w:rPr>
          <w:rFonts w:ascii="Times New Roman" w:eastAsia="方正仿宋简体" w:hAnsi="Times New Roman" w:cs="Times New Roman" w:hint="eastAsia"/>
          <w:sz w:val="32"/>
          <w:szCs w:val="32"/>
        </w:rPr>
        <w:t>收支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总表支出栏、基本支出表、项目支出表按经济分类和支出功能分类科目编制，反映部门预算中支出预算的总体情况。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年部门支出预算为</w:t>
      </w:r>
      <w:r w:rsidR="004C0D80" w:rsidRPr="004C0D80">
        <w:rPr>
          <w:rFonts w:ascii="Times New Roman" w:eastAsia="方正仿宋简体" w:hAnsi="Times New Roman" w:cs="Times New Roman" w:hint="eastAsia"/>
          <w:sz w:val="32"/>
          <w:szCs w:val="32"/>
        </w:rPr>
        <w:t>320.02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万元，其中基本支出</w:t>
      </w:r>
      <w:r w:rsidR="004C0D80" w:rsidRPr="004C0D80">
        <w:rPr>
          <w:rFonts w:ascii="Times New Roman" w:eastAsia="方正仿宋简体" w:hAnsi="Times New Roman" w:cs="Times New Roman" w:hint="eastAsia"/>
          <w:sz w:val="32"/>
          <w:szCs w:val="32"/>
        </w:rPr>
        <w:t>276.32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包括人员经费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233.26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万元和日常公用经费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43.06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万元；项目支出</w:t>
      </w:r>
      <w:r w:rsidR="004C0D80" w:rsidRPr="004C0D80">
        <w:rPr>
          <w:rFonts w:ascii="Times New Roman" w:eastAsia="方正仿宋简体" w:hAnsi="Times New Roman" w:cs="Times New Roman"/>
          <w:sz w:val="32"/>
          <w:szCs w:val="32"/>
        </w:rPr>
        <w:t>43.70</w:t>
      </w:r>
      <w:r w:rsidRPr="004C0D80">
        <w:rPr>
          <w:rFonts w:ascii="Times New Roman" w:eastAsia="方正仿宋简体" w:hAnsi="Times New Roman" w:cs="Times New Roman" w:hint="eastAsia"/>
          <w:sz w:val="32"/>
          <w:szCs w:val="32"/>
        </w:rPr>
        <w:t>万元，全部为本级支出。</w:t>
      </w:r>
    </w:p>
    <w:p w:rsidR="00751FE1" w:rsidRPr="00D8117B" w:rsidRDefault="00D8117B" w:rsidP="00D8117B">
      <w:pPr>
        <w:ind w:left="640"/>
        <w:rPr>
          <w:rFonts w:ascii="方正仿宋简体" w:eastAsia="方正仿宋简体" w:hAnsi="Times New Roman" w:cs="Times New Roman"/>
          <w:b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b/>
          <w:sz w:val="32"/>
          <w:szCs w:val="32"/>
        </w:rPr>
        <w:t>3.</w:t>
      </w:r>
      <w:r w:rsidR="00F24692" w:rsidRPr="00D8117B">
        <w:rPr>
          <w:rFonts w:ascii="方正仿宋简体" w:eastAsia="方正仿宋简体" w:hAnsi="Times New Roman" w:cs="Times New Roman"/>
          <w:b/>
          <w:sz w:val="32"/>
          <w:szCs w:val="32"/>
        </w:rPr>
        <w:t>比上年增减情况</w:t>
      </w:r>
    </w:p>
    <w:p w:rsidR="00751FE1" w:rsidRPr="00A3183B" w:rsidRDefault="00F24692">
      <w:pPr>
        <w:rPr>
          <w:rFonts w:ascii="Times New Roman" w:eastAsia="方正仿宋简体" w:hAnsi="Times New Roman" w:cs="Times New Roman"/>
          <w:sz w:val="32"/>
          <w:szCs w:val="32"/>
        </w:rPr>
      </w:pPr>
      <w:r w:rsidRPr="00D8117B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="006509AF" w:rsidRPr="00D8117B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</w:t>
      </w:r>
      <w:r w:rsidR="006509AF" w:rsidRPr="00A3183B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年部门预算较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2016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年增长</w:t>
      </w:r>
      <w:r w:rsidR="009C31A8" w:rsidRPr="00A3183B">
        <w:rPr>
          <w:rFonts w:ascii="Times New Roman" w:eastAsia="方正仿宋简体" w:hAnsi="Times New Roman" w:cs="Times New Roman" w:hint="eastAsia"/>
          <w:sz w:val="32"/>
          <w:szCs w:val="32"/>
        </w:rPr>
        <w:t>32.16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万元，其中：基本支出增长</w:t>
      </w:r>
      <w:r w:rsidR="00A3183B" w:rsidRPr="00A3183B">
        <w:rPr>
          <w:rFonts w:ascii="Times New Roman" w:eastAsia="方正仿宋简体" w:hAnsi="Times New Roman" w:cs="Times New Roman" w:hint="eastAsia"/>
          <w:sz w:val="32"/>
          <w:szCs w:val="32"/>
        </w:rPr>
        <w:t>15.46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万元，主要是增加人员经费；项目支出增长</w:t>
      </w:r>
      <w:r w:rsidR="00A3183B" w:rsidRPr="00A3183B">
        <w:rPr>
          <w:rFonts w:ascii="Times New Roman" w:eastAsia="方正仿宋简体" w:hAnsi="Times New Roman" w:cs="Times New Roman" w:hint="eastAsia"/>
          <w:sz w:val="32"/>
          <w:szCs w:val="32"/>
        </w:rPr>
        <w:t>16.7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万元，主要是</w:t>
      </w:r>
      <w:r w:rsidR="00882773" w:rsidRPr="00A3183B">
        <w:rPr>
          <w:rFonts w:ascii="Times New Roman" w:eastAsia="方正仿宋简体" w:hAnsi="Times New Roman" w:cs="Times New Roman" w:hint="eastAsia"/>
          <w:sz w:val="32"/>
          <w:szCs w:val="32"/>
        </w:rPr>
        <w:t>政策性支出增加和新增项目支出</w:t>
      </w:r>
      <w:r w:rsidRPr="00A3183B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三、机关运行经费安排情况</w:t>
      </w:r>
    </w:p>
    <w:p w:rsidR="00751FE1" w:rsidRP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32"/>
        </w:rPr>
        <w:t>机关运行经费共计安排</w:t>
      </w:r>
      <w:r w:rsidR="00ED3088" w:rsidRPr="004C0D80">
        <w:rPr>
          <w:rFonts w:ascii="Times New Roman" w:eastAsia="方正仿宋简体" w:hAnsi="Times New Roman" w:cs="Times New Roman"/>
          <w:sz w:val="32"/>
          <w:szCs w:val="32"/>
        </w:rPr>
        <w:t>43.06</w:t>
      </w:r>
      <w:r w:rsidRPr="00346B63">
        <w:rPr>
          <w:rFonts w:ascii="方正仿宋简体" w:eastAsia="方正仿宋简体" w:hAnsi="Times New Roman" w:cs="Times New Roman" w:hint="eastAsia"/>
          <w:sz w:val="32"/>
          <w:szCs w:val="32"/>
        </w:rPr>
        <w:t>万元，主要用于保证机关正常运转的办公及印刷费、邮电费、差旅费、会议费、福利费、专用材料及一般设备购置费、办公用房水电费、办公用房取暖费、日常维修费、办公楼物业管理费、公务车运行维护费等支出。</w:t>
      </w:r>
    </w:p>
    <w:p w:rsidR="00346B63" w:rsidRDefault="00F24692" w:rsidP="00346B63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</w:t>
      </w:r>
      <w:r>
        <w:rPr>
          <w:rFonts w:ascii="黑体" w:eastAsia="黑体" w:hAnsi="黑体" w:cs="Times New Roman"/>
          <w:sz w:val="32"/>
          <w:szCs w:val="32"/>
        </w:rPr>
        <w:t>“</w:t>
      </w:r>
      <w:r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/>
          <w:sz w:val="32"/>
          <w:szCs w:val="32"/>
        </w:rPr>
        <w:t>”</w:t>
      </w:r>
      <w:r>
        <w:rPr>
          <w:rFonts w:ascii="黑体" w:eastAsia="黑体" w:hAnsi="黑体" w:cs="Times New Roman" w:hint="eastAsia"/>
          <w:sz w:val="32"/>
          <w:szCs w:val="32"/>
        </w:rPr>
        <w:t>经费预算情况及增减变化原因</w:t>
      </w:r>
    </w:p>
    <w:p w:rsidR="00751FE1" w:rsidRPr="00ED3088" w:rsidRDefault="00F24692" w:rsidP="00346B63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年，财政拨款“三公”经费预算安排</w:t>
      </w:r>
      <w:r w:rsidR="00ED3088" w:rsidRPr="00ED3088">
        <w:rPr>
          <w:rFonts w:ascii="Times New Roman" w:eastAsia="方正仿宋简体" w:hAnsi="Times New Roman" w:cs="Times New Roman" w:hint="eastAsia"/>
          <w:sz w:val="32"/>
          <w:szCs w:val="32"/>
        </w:rPr>
        <w:t>10.3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万元，其中：因公出国（境）费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万元；公务用车购置及运维费</w:t>
      </w:r>
      <w:r w:rsidR="00ED3088" w:rsidRPr="00ED3088">
        <w:rPr>
          <w:rFonts w:ascii="Times New Roman" w:eastAsia="方正仿宋简体" w:hAnsi="Times New Roman" w:cs="Times New Roman" w:hint="eastAsia"/>
          <w:sz w:val="32"/>
          <w:szCs w:val="32"/>
        </w:rPr>
        <w:t>3.3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万元；公务接待费</w:t>
      </w:r>
      <w:r w:rsidR="00ED3088" w:rsidRPr="00ED3088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万元。“三公”经费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较上年下降</w:t>
      </w:r>
      <w:r w:rsidR="00A3183B">
        <w:rPr>
          <w:rFonts w:ascii="Times New Roman" w:eastAsia="方正仿宋简体" w:hAnsi="Times New Roman" w:cs="Times New Roman" w:hint="eastAsia"/>
          <w:sz w:val="32"/>
          <w:szCs w:val="32"/>
        </w:rPr>
        <w:t>29.45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，主要原因是今年</w:t>
      </w:r>
      <w:r w:rsidR="0046661B">
        <w:rPr>
          <w:rFonts w:ascii="Times New Roman" w:eastAsia="方正仿宋简体" w:hAnsi="Times New Roman" w:cs="Times New Roman" w:hint="eastAsia"/>
          <w:sz w:val="32"/>
          <w:szCs w:val="32"/>
        </w:rPr>
        <w:t>减少一辆公务用车及</w:t>
      </w:r>
      <w:r w:rsidR="00882773" w:rsidRPr="00ED3088">
        <w:rPr>
          <w:rFonts w:ascii="Times New Roman" w:eastAsia="方正仿宋简体" w:hAnsi="Times New Roman" w:cs="Times New Roman" w:hint="eastAsia"/>
          <w:sz w:val="32"/>
          <w:szCs w:val="32"/>
        </w:rPr>
        <w:t>对“三公”经费等一般性支出进行了压减。</w:t>
      </w:r>
    </w:p>
    <w:p w:rsidR="00751FE1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五、绩效预算信息</w:t>
      </w:r>
    </w:p>
    <w:p w:rsidR="00751FE1" w:rsidRPr="0046661B" w:rsidRDefault="005A137D" w:rsidP="0046661B">
      <w:pPr>
        <w:ind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一是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预算管理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研究制定完善的预算政策体系，提高预算管理的科学化水平。统筹市级财力，强化绩效管理，科学编制政府绩效预算。规范预算执行，合理组织财政各项支出，促进社会事业发展。推进预算公开，实施全面规范、公开透明的预算制度。</w:t>
      </w:r>
      <w:bookmarkStart w:id="0" w:name="_Toc471398463"/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二是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国库管理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</w:t>
      </w:r>
      <w:r w:rsidR="00A3183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本级预算单位用款计划及额度审核下达，上下级财政库款调度；财政专户资金审核拨付；全区预算执行分析；本级财政总预算会计，全区本级决算；国债、地方债和国库现金管理；管理本级预算单位银行账户。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三是财政监督管理方面，统筹组织上级要求及新区安排的专项检查、专项治理工作；组织实施内部业务审计；依法调查、组织审理部门单位财政违法行为案件；配合外部审计工作。四是国有资产管理方面，拟定行政事业单位国有资产管理制度和办法，对行政事业单位资产配置、使用、处置事项进行管理有关工作。五是融资管理方面，拟定政府性债务、国外贷款管理制度和政策办法，审核债务举借与偿还计划并实施项目管理，加强政府债券管理和土储融资审核，实施风险预警及专项检查与监督，负责地方政府债券管理工作。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六是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财政政务管理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方面，指导财政系统业务活动和事业发展，开展对外合作交流，加强财政法制建设，开展财税政策研究，深化财政改革，行政复议及行政应诉工作，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信访接待、业务宣传、政务信息公开、网上行政服务、依法行政等。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七是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聘请中介机构</w:t>
      </w:r>
      <w:r w:rsidR="0046661B" w:rsidRPr="0046661B">
        <w:rPr>
          <w:rFonts w:ascii="方正仿宋简体" w:eastAsia="方正仿宋简体" w:hAnsi="Times New Roman" w:cs="Times New Roman" w:hint="eastAsia"/>
          <w:sz w:val="32"/>
          <w:szCs w:val="32"/>
        </w:rPr>
        <w:t>，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t>规范项目建设单位行为。负责监督</w:t>
      </w:r>
      <w:r w:rsidRPr="0046661B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对中介机构的管理，结合新区实际制定管理考核制度，规范社会中介参与审计行为。对财政性资金已安排建设项目、建设项目竣工结（决）算以及建设类项目投资项目进行聘请中介机构审计。</w:t>
      </w:r>
      <w:bookmarkEnd w:id="0"/>
    </w:p>
    <w:p w:rsidR="00346B63" w:rsidRDefault="00F24692" w:rsidP="00346B63">
      <w:pPr>
        <w:ind w:firstLine="640"/>
        <w:rPr>
          <w:rFonts w:ascii="Times New Roman" w:eastAsia="方正仿宋_GBK" w:hAnsi="Times New Roman" w:cs="Times New Roman"/>
          <w:color w:val="FF0000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六、政府采购预算情况</w:t>
      </w:r>
    </w:p>
    <w:p w:rsidR="00882773" w:rsidRPr="00ED3088" w:rsidRDefault="00882773" w:rsidP="00346B63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本部门无政府采购预算。</w:t>
      </w:r>
    </w:p>
    <w:p w:rsidR="00751FE1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七、国有资产信息</w:t>
      </w:r>
    </w:p>
    <w:p w:rsidR="00751FE1" w:rsidRPr="00ED3088" w:rsidRDefault="00F24692" w:rsidP="00D6009F">
      <w:pPr>
        <w:ind w:leftChars="50" w:left="105" w:firstLineChars="150" w:firstLine="480"/>
        <w:rPr>
          <w:rFonts w:ascii="Times New Roman" w:eastAsia="方正仿宋简体" w:hAnsi="Times New Roman" w:cs="Times New Roman"/>
          <w:sz w:val="32"/>
          <w:szCs w:val="32"/>
        </w:rPr>
      </w:pPr>
      <w:r w:rsidRPr="00ED3088">
        <w:rPr>
          <w:rFonts w:ascii="Times New Roman" w:eastAsia="方正仿宋简体" w:hAnsi="Times New Roman" w:cs="Times New Roman" w:hint="eastAsia"/>
          <w:sz w:val="32"/>
          <w:szCs w:val="32"/>
        </w:rPr>
        <w:t>上年末固定资产金额为</w:t>
      </w:r>
      <w:r w:rsidR="00ED3088">
        <w:rPr>
          <w:rFonts w:ascii="Times New Roman" w:eastAsia="方正仿宋简体" w:hAnsi="Times New Roman" w:cs="Times New Roman" w:hint="eastAsia"/>
          <w:sz w:val="32"/>
          <w:szCs w:val="32"/>
        </w:rPr>
        <w:t>97.2</w:t>
      </w:r>
      <w:r w:rsidR="00ED3088">
        <w:rPr>
          <w:rFonts w:ascii="Times New Roman" w:eastAsia="方正仿宋简体" w:hAnsi="Times New Roman" w:cs="Times New Roman" w:hint="eastAsia"/>
          <w:sz w:val="32"/>
          <w:szCs w:val="32"/>
        </w:rPr>
        <w:t>万元</w:t>
      </w:r>
      <w:r w:rsidR="00D6009F">
        <w:rPr>
          <w:rFonts w:ascii="Times New Roman" w:eastAsia="方正仿宋简体" w:hAnsi="Times New Roman" w:cs="Times New Roman" w:hint="eastAsia"/>
          <w:sz w:val="32"/>
          <w:szCs w:val="32"/>
        </w:rPr>
        <w:t>，本年度拟购置固定资产主要为计算机、一体机、打印机等，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均为其他固定资产。</w:t>
      </w:r>
      <w:r w:rsidR="00D6009F">
        <w:rPr>
          <w:rFonts w:ascii="Times New Roman" w:eastAsia="方正仿宋简体" w:hAnsi="Times New Roman" w:cs="Times New Roman" w:hint="eastAsia"/>
          <w:sz w:val="32"/>
          <w:szCs w:val="32"/>
        </w:rPr>
        <w:t>由于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2016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年集中开展无偿划转处置工作，接受综合办公室无偿划入资产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18.13</w:t>
      </w:r>
      <w:r w:rsidR="00D6009F" w:rsidRPr="00D6009F">
        <w:rPr>
          <w:rFonts w:ascii="Times New Roman" w:eastAsia="方正仿宋简体" w:hAnsi="Times New Roman" w:cs="Times New Roman" w:hint="eastAsia"/>
          <w:sz w:val="32"/>
          <w:szCs w:val="32"/>
        </w:rPr>
        <w:t>万元，导致处置资产增加数额较大。</w:t>
      </w:r>
      <w:bookmarkStart w:id="1" w:name="_GoBack"/>
      <w:bookmarkEnd w:id="1"/>
    </w:p>
    <w:p w:rsidR="00751FE1" w:rsidRDefault="00D8117B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</w:t>
      </w:r>
      <w:r w:rsidR="00F24692">
        <w:rPr>
          <w:rFonts w:ascii="黑体" w:eastAsia="黑体" w:hAnsi="黑体" w:cs="Times New Roman" w:hint="eastAsia"/>
          <w:sz w:val="32"/>
          <w:szCs w:val="32"/>
        </w:rPr>
        <w:t>名词解释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1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、一般预算收入：指区级财政当年拨付的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资金。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2、基本支出：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指为保障机构正常运转、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完成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日常工作任务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而发生的人员支出和公用支出。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3、项目支出：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指在基本支出之外为完成特定行政任务和事业发展目标所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发生的支出。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4、机关运行费：是指为保证行政</w:t>
      </w:r>
      <w:r w:rsidR="00D8117B" w:rsidRPr="00346B63">
        <w:rPr>
          <w:rFonts w:ascii="方正仿宋简体" w:eastAsia="方正仿宋简体" w:hAnsi="Times New Roman" w:cs="Times New Roman" w:hint="eastAsia"/>
          <w:sz w:val="32"/>
          <w:szCs w:val="24"/>
        </w:rPr>
        <w:t>事业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单位运行，用于购买货物和服务的各项资金。主要包括：</w:t>
      </w: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lastRenderedPageBreak/>
        <w:t>办公费、印刷费，水费、电费、邮电费、福利费、日常维修费、办公取暖费、办公物业服务费、公务车运行维护费等。</w:t>
      </w:r>
    </w:p>
    <w:p w:rsidR="00751FE1" w:rsidRPr="00D8117B" w:rsidRDefault="00F24692" w:rsidP="00D8117B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D8117B">
        <w:rPr>
          <w:rFonts w:ascii="黑体" w:eastAsia="黑体" w:hAnsi="黑体" w:cs="Times New Roman" w:hint="eastAsia"/>
          <w:sz w:val="32"/>
          <w:szCs w:val="32"/>
        </w:rPr>
        <w:t>九、其他需要说明的事项</w:t>
      </w:r>
    </w:p>
    <w:p w:rsidR="00751FE1" w:rsidRPr="00346B63" w:rsidRDefault="00F24692" w:rsidP="00F24692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方正仿宋简体" w:eastAsia="方正仿宋简体" w:hAnsi="Times New Roman" w:cs="Times New Roman"/>
          <w:sz w:val="32"/>
          <w:szCs w:val="24"/>
        </w:rPr>
      </w:pPr>
      <w:r w:rsidRPr="00346B63">
        <w:rPr>
          <w:rFonts w:ascii="方正仿宋简体" w:eastAsia="方正仿宋简体" w:hAnsi="Times New Roman" w:cs="Times New Roman" w:hint="eastAsia"/>
          <w:sz w:val="32"/>
          <w:szCs w:val="24"/>
        </w:rPr>
        <w:t>无</w:t>
      </w:r>
      <w:r w:rsidR="00346B63">
        <w:rPr>
          <w:rFonts w:ascii="方正仿宋简体" w:eastAsia="方正仿宋简体" w:hAnsi="Times New Roman" w:cs="Times New Roman" w:hint="eastAsia"/>
          <w:sz w:val="32"/>
          <w:szCs w:val="24"/>
        </w:rPr>
        <w:t>。</w:t>
      </w:r>
    </w:p>
    <w:p w:rsidR="00751FE1" w:rsidRDefault="00751F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51FE1" w:rsidSect="00751F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13" w:rsidRDefault="00074313" w:rsidP="00F24692">
      <w:r>
        <w:separator/>
      </w:r>
    </w:p>
  </w:endnote>
  <w:endnote w:type="continuationSeparator" w:id="0">
    <w:p w:rsidR="00074313" w:rsidRDefault="00074313" w:rsidP="00F2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方正报宋繁体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13" w:rsidRDefault="00074313" w:rsidP="00F24692">
      <w:r>
        <w:separator/>
      </w:r>
    </w:p>
  </w:footnote>
  <w:footnote w:type="continuationSeparator" w:id="0">
    <w:p w:rsidR="00074313" w:rsidRDefault="00074313" w:rsidP="00F2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C16B4"/>
    <w:multiLevelType w:val="hybridMultilevel"/>
    <w:tmpl w:val="42EA78FE"/>
    <w:lvl w:ilvl="0" w:tplc="14B6F98E">
      <w:start w:val="2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">
    <w:nsid w:val="58818F2D"/>
    <w:multiLevelType w:val="singleLevel"/>
    <w:tmpl w:val="58818F2D"/>
    <w:lvl w:ilvl="0">
      <w:start w:val="2"/>
      <w:numFmt w:val="decimal"/>
      <w:suff w:val="nothing"/>
      <w:lvlText w:val="%1、"/>
      <w:lvlJc w:val="left"/>
    </w:lvl>
  </w:abstractNum>
  <w:abstractNum w:abstractNumId="2">
    <w:nsid w:val="5881B3F2"/>
    <w:multiLevelType w:val="singleLevel"/>
    <w:tmpl w:val="5881B3F2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6032"/>
    <w:rsid w:val="00037AF6"/>
    <w:rsid w:val="00041994"/>
    <w:rsid w:val="00074313"/>
    <w:rsid w:val="00075D5F"/>
    <w:rsid w:val="000B3E8D"/>
    <w:rsid w:val="000C3A19"/>
    <w:rsid w:val="000D3F0D"/>
    <w:rsid w:val="001245BB"/>
    <w:rsid w:val="00241FD4"/>
    <w:rsid w:val="00251B12"/>
    <w:rsid w:val="00296113"/>
    <w:rsid w:val="002F3E58"/>
    <w:rsid w:val="0030542C"/>
    <w:rsid w:val="00311B7A"/>
    <w:rsid w:val="00314C7B"/>
    <w:rsid w:val="00346B63"/>
    <w:rsid w:val="00364058"/>
    <w:rsid w:val="00380590"/>
    <w:rsid w:val="00416AC7"/>
    <w:rsid w:val="00417CCC"/>
    <w:rsid w:val="00451871"/>
    <w:rsid w:val="0046661B"/>
    <w:rsid w:val="00472923"/>
    <w:rsid w:val="004C0D80"/>
    <w:rsid w:val="004E3066"/>
    <w:rsid w:val="004E6DA9"/>
    <w:rsid w:val="004E74CD"/>
    <w:rsid w:val="004F6CED"/>
    <w:rsid w:val="00531F35"/>
    <w:rsid w:val="0057247D"/>
    <w:rsid w:val="00573562"/>
    <w:rsid w:val="005A137D"/>
    <w:rsid w:val="00614A29"/>
    <w:rsid w:val="006509AF"/>
    <w:rsid w:val="006D0BF7"/>
    <w:rsid w:val="006E3FDA"/>
    <w:rsid w:val="00751FE1"/>
    <w:rsid w:val="0075393C"/>
    <w:rsid w:val="007722ED"/>
    <w:rsid w:val="00776C08"/>
    <w:rsid w:val="007E1DA8"/>
    <w:rsid w:val="007F6C26"/>
    <w:rsid w:val="008334AE"/>
    <w:rsid w:val="00836FED"/>
    <w:rsid w:val="00845CD2"/>
    <w:rsid w:val="00852B0D"/>
    <w:rsid w:val="00881692"/>
    <w:rsid w:val="00882773"/>
    <w:rsid w:val="00887B5F"/>
    <w:rsid w:val="008B3CC5"/>
    <w:rsid w:val="008E4261"/>
    <w:rsid w:val="008F21E5"/>
    <w:rsid w:val="008F3E86"/>
    <w:rsid w:val="008F4662"/>
    <w:rsid w:val="00905D08"/>
    <w:rsid w:val="00925753"/>
    <w:rsid w:val="00966C5C"/>
    <w:rsid w:val="00973104"/>
    <w:rsid w:val="009C31A8"/>
    <w:rsid w:val="00A3183B"/>
    <w:rsid w:val="00A72D2E"/>
    <w:rsid w:val="00A911E7"/>
    <w:rsid w:val="00A939D9"/>
    <w:rsid w:val="00AB1673"/>
    <w:rsid w:val="00AD44A3"/>
    <w:rsid w:val="00B20712"/>
    <w:rsid w:val="00B43238"/>
    <w:rsid w:val="00B75216"/>
    <w:rsid w:val="00B91D52"/>
    <w:rsid w:val="00BA1ACD"/>
    <w:rsid w:val="00CA7176"/>
    <w:rsid w:val="00CC163D"/>
    <w:rsid w:val="00CD2773"/>
    <w:rsid w:val="00CE143B"/>
    <w:rsid w:val="00D6009F"/>
    <w:rsid w:val="00D74B13"/>
    <w:rsid w:val="00D8117B"/>
    <w:rsid w:val="00E167C7"/>
    <w:rsid w:val="00EC47F6"/>
    <w:rsid w:val="00ED3088"/>
    <w:rsid w:val="00F24692"/>
    <w:rsid w:val="00F47277"/>
    <w:rsid w:val="00F66032"/>
    <w:rsid w:val="00F958C2"/>
    <w:rsid w:val="01FB23CB"/>
    <w:rsid w:val="0B0D77B0"/>
    <w:rsid w:val="0C3D5924"/>
    <w:rsid w:val="0D9F1876"/>
    <w:rsid w:val="10ED36A0"/>
    <w:rsid w:val="114917E9"/>
    <w:rsid w:val="15F42192"/>
    <w:rsid w:val="19C36DAA"/>
    <w:rsid w:val="1A5D684E"/>
    <w:rsid w:val="1ABE55EE"/>
    <w:rsid w:val="1D954D97"/>
    <w:rsid w:val="2A012DF7"/>
    <w:rsid w:val="303D4E30"/>
    <w:rsid w:val="316E2FA4"/>
    <w:rsid w:val="3507028C"/>
    <w:rsid w:val="3595643A"/>
    <w:rsid w:val="38E01BC5"/>
    <w:rsid w:val="3CD42DDC"/>
    <w:rsid w:val="429960CF"/>
    <w:rsid w:val="45C76287"/>
    <w:rsid w:val="471D5503"/>
    <w:rsid w:val="492C0AE6"/>
    <w:rsid w:val="4A5B700A"/>
    <w:rsid w:val="4DF57B76"/>
    <w:rsid w:val="541C1C0A"/>
    <w:rsid w:val="55145A25"/>
    <w:rsid w:val="55383E38"/>
    <w:rsid w:val="5911172D"/>
    <w:rsid w:val="59870472"/>
    <w:rsid w:val="5E731884"/>
    <w:rsid w:val="67706CC4"/>
    <w:rsid w:val="678A783D"/>
    <w:rsid w:val="685B7F7B"/>
    <w:rsid w:val="6C053E44"/>
    <w:rsid w:val="6CA86ED0"/>
    <w:rsid w:val="724C7A91"/>
    <w:rsid w:val="72617A36"/>
    <w:rsid w:val="7EB2342C"/>
    <w:rsid w:val="7FB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18A2D2F-B0CD-4750-A32D-D3FE2E3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E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1F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75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">
    <w:name w:val="toc 1"/>
    <w:basedOn w:val="a"/>
    <w:next w:val="a"/>
    <w:rsid w:val="00751FE1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rsid w:val="00751FE1"/>
    <w:pPr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0">
    <w:name w:val="页眉 Char"/>
    <w:basedOn w:val="a0"/>
    <w:link w:val="a4"/>
    <w:rsid w:val="00751FE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51FE1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semiHidden/>
    <w:unhideWhenUsed/>
    <w:rsid w:val="00F24692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F24692"/>
    <w:pPr>
      <w:jc w:val="left"/>
    </w:pPr>
  </w:style>
  <w:style w:type="character" w:customStyle="1" w:styleId="Char1">
    <w:name w:val="批注文字 Char"/>
    <w:basedOn w:val="a0"/>
    <w:link w:val="a6"/>
    <w:semiHidden/>
    <w:rsid w:val="00F24692"/>
    <w:rPr>
      <w:rFonts w:ascii="Calibri" w:hAnsi="Calibri" w:cs="黑体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semiHidden/>
    <w:unhideWhenUsed/>
    <w:rsid w:val="00F24692"/>
    <w:rPr>
      <w:b/>
      <w:bCs/>
    </w:rPr>
  </w:style>
  <w:style w:type="character" w:customStyle="1" w:styleId="Char2">
    <w:name w:val="批注主题 Char"/>
    <w:basedOn w:val="Char1"/>
    <w:link w:val="a7"/>
    <w:semiHidden/>
    <w:rsid w:val="00F24692"/>
    <w:rPr>
      <w:rFonts w:ascii="Calibri" w:hAnsi="Calibri" w:cs="黑体"/>
      <w:b/>
      <w:bCs/>
      <w:kern w:val="2"/>
      <w:sz w:val="21"/>
      <w:szCs w:val="22"/>
    </w:rPr>
  </w:style>
  <w:style w:type="paragraph" w:styleId="a8">
    <w:name w:val="Balloon Text"/>
    <w:basedOn w:val="a"/>
    <w:link w:val="Char3"/>
    <w:semiHidden/>
    <w:unhideWhenUsed/>
    <w:rsid w:val="00F24692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F2469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河北省2017年部门预算信息公开</dc:title>
  <dc:creator>guest</dc:creator>
  <cp:lastModifiedBy>FJY</cp:lastModifiedBy>
  <cp:revision>6</cp:revision>
  <cp:lastPrinted>2017-05-04T01:20:00Z</cp:lastPrinted>
  <dcterms:created xsi:type="dcterms:W3CDTF">2017-05-02T02:48:00Z</dcterms:created>
  <dcterms:modified xsi:type="dcterms:W3CDTF">2017-06-19T07:54:00Z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