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北戴河新区</w:t>
      </w:r>
      <w:r>
        <w:rPr>
          <w:rFonts w:hint="eastAsia" w:ascii="方正小标宋简体" w:hAnsi="Times New Roman" w:eastAsia="方正小标宋简体" w:cs="Times New Roman"/>
          <w:color w:val="FF0000"/>
          <w:sz w:val="44"/>
          <w:szCs w:val="44"/>
          <w:lang w:eastAsia="zh-CN"/>
        </w:rPr>
        <w:t>综合执法局</w:t>
      </w:r>
      <w:r>
        <w:rPr>
          <w:rFonts w:hint="eastAsia" w:ascii="方正小标宋简体" w:hAnsi="Times New Roman" w:eastAsia="方正小标宋简体" w:cs="Times New Roman"/>
          <w:sz w:val="44"/>
          <w:szCs w:val="44"/>
        </w:rPr>
        <w:t>2017年部门预算信息公开说明</w:t>
      </w: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按照《预算法》、《地方预决算公开操作规程》和《河北省省级预算公开办法》规定，现将2017年部门预算公开如下：</w:t>
      </w:r>
      <w:r>
        <w:rPr>
          <w:rFonts w:hint="eastAsia" w:ascii="方正仿宋简体" w:hAnsi="Times New Roman" w:eastAsia="方正仿宋简体" w:cs="Times New Roman"/>
          <w:sz w:val="32"/>
          <w:szCs w:val="32"/>
          <w:lang w:val="en-US" w:eastAsia="zh-CN"/>
        </w:rPr>
        <w:tab/>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napToGrid w:val="0"/>
        <w:spacing w:line="520" w:lineRule="exact"/>
        <w:ind w:firstLine="643" w:firstLineChars="200"/>
        <w:rPr>
          <w:rFonts w:ascii="方正仿宋简体" w:hAnsi="Times New Roman" w:eastAsia="方正仿宋简体" w:cs="Times New Roman"/>
          <w:color w:val="FF0000"/>
          <w:sz w:val="32"/>
          <w:szCs w:val="32"/>
        </w:rPr>
      </w:pPr>
      <w:r>
        <w:rPr>
          <w:rFonts w:hint="eastAsia" w:ascii="方正仿宋简体" w:hAnsi="Times New Roman" w:eastAsia="方正仿宋简体" w:cs="Times New Roman"/>
          <w:b/>
          <w:sz w:val="32"/>
          <w:szCs w:val="32"/>
        </w:rPr>
        <w:t>部门</w:t>
      </w:r>
      <w:r>
        <w:rPr>
          <w:rFonts w:ascii="方正仿宋简体" w:hAnsi="Times New Roman" w:eastAsia="方正仿宋简体" w:cs="Times New Roman"/>
          <w:b/>
          <w:sz w:val="32"/>
          <w:szCs w:val="32"/>
        </w:rPr>
        <w:t>职责：</w:t>
      </w:r>
      <w:r>
        <w:rPr>
          <w:rFonts w:hint="eastAsia" w:ascii="方正仿宋简体" w:hAnsi="Times New Roman" w:eastAsia="方正仿宋简体" w:cs="Times New Roman"/>
          <w:color w:val="FF0000"/>
          <w:sz w:val="32"/>
          <w:szCs w:val="32"/>
          <w:lang w:eastAsia="zh-CN"/>
        </w:rPr>
        <w:t>负责城市管理方面的法律、法规、规章、规定的行政执法工作；负责安全生产监督方面的法律、法规、规章、规定的行政执法工作；负责市容环境卫生管理方面的法律、法规、规章、规定的行政执法工作；负责园林绿化管理方面的法律、法规、规章、规定的行政执法工作；负责国土方面的法律、法规、规章、规定的行政执法工作；负责文化方面的法律、法规、规章、规定的行政执法工作；负责新闻方面的法律、法规、规章、规定的行政执法工作；负责卫计方面的法律、法规、规章规定的行政执法工作；负责房产方面的法律、法规、规章、规定的行政执法工作；负责规划方面的法律、法规、规章、规定的行政执法工作；负责城乡建设方面的法律、法规、规章、规定的行政执法工作；负责行政执法的投诉、应诉和行政争议工作；负责承办新区党工委、管委会交办的其他事项。</w:t>
      </w:r>
    </w:p>
    <w:p>
      <w:pPr>
        <w:autoSpaceDE w:val="0"/>
        <w:autoSpaceDN w:val="0"/>
        <w:adjustRightInd w:val="0"/>
        <w:ind w:firstLine="643" w:firstLineChars="200"/>
        <w:jc w:val="left"/>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11"/>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FF0000"/>
                <w:szCs w:val="24"/>
              </w:rPr>
            </w:pPr>
            <w:r>
              <w:rPr>
                <w:rFonts w:hint="eastAsia" w:ascii="方正书宋_GBK" w:eastAsia="方正书宋_GBK"/>
                <w:color w:val="FF0000"/>
              </w:rPr>
              <w:t>北戴河新区</w:t>
            </w:r>
            <w:r>
              <w:rPr>
                <w:rFonts w:hint="eastAsia" w:ascii="方正书宋_GBK" w:eastAsia="方正书宋_GBK"/>
                <w:color w:val="FF0000"/>
                <w:lang w:eastAsia="zh-CN"/>
              </w:rPr>
              <w:t>综合执法局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副处级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FF0000"/>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 xml:space="preserve">  </w:t>
            </w: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按照预算管理有关规定，目前</w:t>
      </w:r>
      <w:r>
        <w:rPr>
          <w:rFonts w:hint="eastAsia" w:ascii="方正仿宋简体" w:hAnsi="Times New Roman" w:eastAsia="方正仿宋简体" w:cs="Times New Roman"/>
          <w:sz w:val="32"/>
          <w:szCs w:val="32"/>
        </w:rPr>
        <w:t>我区</w:t>
      </w:r>
      <w:r>
        <w:rPr>
          <w:rFonts w:ascii="方正仿宋简体" w:hAnsi="Times New Roman" w:eastAsia="方正仿宋简体" w:cs="Times New Roman"/>
          <w:sz w:val="32"/>
          <w:szCs w:val="32"/>
        </w:rPr>
        <w:t>部门预算的编制实行综合预算制度，即全部收入和支出都反映</w:t>
      </w:r>
      <w:r>
        <w:rPr>
          <w:rFonts w:hint="eastAsia" w:ascii="方正仿宋简体" w:hAnsi="Times New Roman" w:eastAsia="方正仿宋简体" w:cs="Times New Roman"/>
          <w:sz w:val="32"/>
          <w:szCs w:val="32"/>
        </w:rPr>
        <w:t>在</w:t>
      </w:r>
      <w:r>
        <w:rPr>
          <w:rFonts w:ascii="方正仿宋简体" w:hAnsi="Times New Roman" w:eastAsia="方正仿宋简体" w:cs="Times New Roman"/>
          <w:sz w:val="32"/>
          <w:szCs w:val="32"/>
        </w:rPr>
        <w:t>预算中。</w:t>
      </w:r>
      <w:r>
        <w:rPr>
          <w:rFonts w:hint="eastAsia" w:ascii="方正仿宋简体" w:hAnsi="Times New Roman" w:eastAsia="方正仿宋简体" w:cs="Times New Roman"/>
          <w:color w:val="FF0000"/>
          <w:sz w:val="32"/>
          <w:szCs w:val="32"/>
          <w:lang w:eastAsia="zh-CN"/>
        </w:rPr>
        <w:t>综合执法局</w:t>
      </w:r>
      <w:r>
        <w:rPr>
          <w:rFonts w:ascii="方正仿宋简体" w:hAnsi="Times New Roman" w:eastAsia="方正仿宋简体" w:cs="Times New Roman"/>
          <w:sz w:val="32"/>
          <w:szCs w:val="32"/>
        </w:rPr>
        <w:t>的收支包含在部门预算中。</w:t>
      </w:r>
    </w:p>
    <w:p>
      <w:pPr>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1.</w:t>
      </w:r>
      <w:r>
        <w:rPr>
          <w:rFonts w:ascii="方正仿宋简体" w:hAnsi="Times New Roman" w:eastAsia="方正仿宋简体" w:cs="Times New Roman"/>
          <w:b/>
          <w:sz w:val="32"/>
          <w:szCs w:val="32"/>
        </w:rPr>
        <w:t>收入说明</w:t>
      </w: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lang w:eastAsia="zh-CN"/>
        </w:rPr>
        <w:t>反映</w:t>
      </w:r>
      <w:r>
        <w:rPr>
          <w:rFonts w:hint="eastAsia" w:ascii="方正仿宋简体" w:hAnsi="Times New Roman" w:eastAsia="方正仿宋简体" w:cs="Times New Roman"/>
          <w:sz w:val="32"/>
          <w:szCs w:val="32"/>
        </w:rPr>
        <w:t>本部门当年全部收入，2017年预算收入</w:t>
      </w:r>
      <w:r>
        <w:rPr>
          <w:rFonts w:hint="eastAsia" w:ascii="方正仿宋简体" w:hAnsi="Times New Roman" w:eastAsia="方正仿宋简体" w:cs="Times New Roman"/>
          <w:color w:val="FF0000"/>
          <w:sz w:val="32"/>
          <w:szCs w:val="32"/>
          <w:lang w:val="en-US" w:eastAsia="zh-CN"/>
        </w:rPr>
        <w:t>961.06</w:t>
      </w:r>
      <w:r>
        <w:rPr>
          <w:rFonts w:hint="eastAsia" w:ascii="方正仿宋简体" w:hAnsi="Times New Roman" w:eastAsia="方正仿宋简体" w:cs="Times New Roman"/>
          <w:sz w:val="32"/>
          <w:szCs w:val="32"/>
        </w:rPr>
        <w:t>万元，其中：一般公共预算拨款</w:t>
      </w:r>
      <w:r>
        <w:rPr>
          <w:rFonts w:hint="eastAsia" w:ascii="方正仿宋简体" w:hAnsi="Times New Roman" w:eastAsia="方正仿宋简体" w:cs="Times New Roman"/>
          <w:color w:val="FF0000"/>
          <w:sz w:val="32"/>
          <w:szCs w:val="32"/>
          <w:lang w:val="en-US" w:eastAsia="zh-CN"/>
        </w:rPr>
        <w:t>961.06</w:t>
      </w:r>
      <w:r>
        <w:rPr>
          <w:rFonts w:hint="eastAsia" w:ascii="方正仿宋简体" w:hAnsi="Times New Roman" w:eastAsia="方正仿宋简体" w:cs="Times New Roman"/>
          <w:sz w:val="32"/>
          <w:szCs w:val="32"/>
        </w:rPr>
        <w:t>万元</w:t>
      </w:r>
      <w:r>
        <w:rPr>
          <w:rFonts w:hint="eastAsia" w:ascii="方正仿宋简体" w:hAnsi="Times New Roman" w:eastAsia="方正仿宋简体" w:cs="Times New Roman"/>
          <w:sz w:val="32"/>
          <w:szCs w:val="32"/>
          <w:lang w:eastAsia="zh-CN"/>
        </w:rPr>
        <w:t>。</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2.</w:t>
      </w:r>
      <w:r>
        <w:rPr>
          <w:rFonts w:ascii="方正仿宋简体" w:hAnsi="Times New Roman" w:eastAsia="方正仿宋简体" w:cs="Times New Roman"/>
          <w:b/>
          <w:sz w:val="32"/>
          <w:szCs w:val="32"/>
        </w:rPr>
        <w:t>支出说明</w:t>
      </w:r>
    </w:p>
    <w:p>
      <w:pPr>
        <w:ind w:firstLine="480" w:firstLineChars="15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部门预算收支总表支出栏、基本支出表、项目支出表按经济分类和支出功能分类科目编制，反映部门预算中支出预算的总体情况。2017年部门支出预算为</w:t>
      </w:r>
      <w:r>
        <w:rPr>
          <w:rFonts w:hint="eastAsia" w:ascii="方正仿宋简体" w:hAnsi="Times New Roman" w:eastAsia="方正仿宋简体" w:cs="Times New Roman"/>
          <w:sz w:val="32"/>
          <w:szCs w:val="32"/>
          <w:lang w:val="en-US" w:eastAsia="zh-CN"/>
        </w:rPr>
        <w:t>961.06</w:t>
      </w:r>
      <w:r>
        <w:rPr>
          <w:rFonts w:hint="eastAsia" w:ascii="方正仿宋简体" w:hAnsi="Times New Roman" w:eastAsia="方正仿宋简体" w:cs="Times New Roman"/>
          <w:sz w:val="32"/>
          <w:szCs w:val="32"/>
        </w:rPr>
        <w:t>万元，其中基本支出</w:t>
      </w:r>
      <w:r>
        <w:rPr>
          <w:rFonts w:hint="eastAsia" w:ascii="方正仿宋简体" w:hAnsi="Times New Roman" w:eastAsia="方正仿宋简体" w:cs="Times New Roman"/>
          <w:sz w:val="32"/>
          <w:szCs w:val="32"/>
          <w:lang w:val="en-US" w:eastAsia="zh-CN"/>
        </w:rPr>
        <w:t>518.86</w:t>
      </w:r>
      <w:r>
        <w:rPr>
          <w:rFonts w:hint="eastAsia" w:ascii="方正仿宋简体" w:hAnsi="Times New Roman" w:eastAsia="方正仿宋简体" w:cs="Times New Roman"/>
          <w:sz w:val="32"/>
          <w:szCs w:val="32"/>
        </w:rPr>
        <w:t>万元，包括人员经费</w:t>
      </w:r>
      <w:r>
        <w:rPr>
          <w:rFonts w:hint="eastAsia" w:ascii="方正仿宋简体" w:hAnsi="Times New Roman" w:eastAsia="方正仿宋简体" w:cs="Times New Roman"/>
          <w:color w:val="FF0000"/>
          <w:sz w:val="32"/>
          <w:szCs w:val="32"/>
          <w:lang w:val="en-US" w:eastAsia="zh-CN"/>
        </w:rPr>
        <w:t>459.92</w:t>
      </w:r>
      <w:r>
        <w:rPr>
          <w:rFonts w:hint="eastAsia" w:ascii="方正仿宋简体" w:hAnsi="Times New Roman" w:eastAsia="方正仿宋简体" w:cs="Times New Roman"/>
          <w:sz w:val="32"/>
          <w:szCs w:val="32"/>
        </w:rPr>
        <w:t>万元和日常公用经费</w:t>
      </w:r>
      <w:r>
        <w:rPr>
          <w:rFonts w:hint="eastAsia" w:ascii="方正仿宋简体" w:hAnsi="Times New Roman" w:eastAsia="方正仿宋简体" w:cs="Times New Roman"/>
          <w:sz w:val="32"/>
          <w:szCs w:val="32"/>
          <w:lang w:val="en-US" w:eastAsia="zh-CN"/>
        </w:rPr>
        <w:t>58.94</w:t>
      </w:r>
      <w:r>
        <w:rPr>
          <w:rFonts w:hint="eastAsia" w:ascii="方正仿宋简体" w:hAnsi="Times New Roman" w:eastAsia="方正仿宋简体" w:cs="Times New Roman"/>
          <w:sz w:val="32"/>
          <w:szCs w:val="32"/>
        </w:rPr>
        <w:t>万元；项目支出</w:t>
      </w:r>
      <w:r>
        <w:rPr>
          <w:rFonts w:hint="eastAsia" w:ascii="方正仿宋简体" w:hAnsi="Times New Roman" w:eastAsia="方正仿宋简体" w:cs="Times New Roman"/>
          <w:color w:val="FF0000"/>
          <w:sz w:val="32"/>
          <w:szCs w:val="32"/>
          <w:lang w:val="en-US" w:eastAsia="zh-CN"/>
        </w:rPr>
        <w:t>442.2</w:t>
      </w:r>
      <w:r>
        <w:rPr>
          <w:rFonts w:hint="eastAsia" w:ascii="方正仿宋简体" w:hAnsi="Times New Roman" w:eastAsia="方正仿宋简体" w:cs="Times New Roman"/>
          <w:sz w:val="32"/>
          <w:szCs w:val="32"/>
        </w:rPr>
        <w:t>万元，全部为本级支出。</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3.</w:t>
      </w:r>
      <w:r>
        <w:rPr>
          <w:rFonts w:ascii="方正仿宋简体" w:hAnsi="Times New Roman" w:eastAsia="方正仿宋简体" w:cs="Times New Roman"/>
          <w:b/>
          <w:sz w:val="32"/>
          <w:szCs w:val="32"/>
        </w:rPr>
        <w:t>比上年增减情况</w:t>
      </w:r>
    </w:p>
    <w:p>
      <w:pPr>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2017年部门预算较2016年增长</w:t>
      </w:r>
      <w:r>
        <w:rPr>
          <w:rFonts w:hint="eastAsia" w:ascii="方正仿宋简体" w:hAnsi="Times New Roman" w:eastAsia="方正仿宋简体" w:cs="Times New Roman"/>
          <w:color w:val="FF0000"/>
          <w:sz w:val="32"/>
          <w:szCs w:val="32"/>
          <w:lang w:val="en-US" w:eastAsia="zh-CN"/>
        </w:rPr>
        <w:t>527.72</w:t>
      </w:r>
      <w:r>
        <w:rPr>
          <w:rFonts w:hint="eastAsia" w:ascii="方正仿宋简体" w:hAnsi="Times New Roman" w:eastAsia="方正仿宋简体" w:cs="Times New Roman"/>
          <w:sz w:val="32"/>
          <w:szCs w:val="32"/>
        </w:rPr>
        <w:t>万元，其中：基本支出增长</w:t>
      </w:r>
      <w:r>
        <w:rPr>
          <w:rFonts w:hint="eastAsia" w:ascii="方正仿宋简体" w:hAnsi="Times New Roman" w:eastAsia="方正仿宋简体" w:cs="Times New Roman"/>
          <w:color w:val="FF0000"/>
          <w:sz w:val="32"/>
          <w:szCs w:val="32"/>
          <w:lang w:val="en-US" w:eastAsia="zh-CN"/>
        </w:rPr>
        <w:t>134.72</w:t>
      </w:r>
      <w:r>
        <w:rPr>
          <w:rFonts w:hint="eastAsia" w:ascii="方正仿宋简体" w:hAnsi="Times New Roman" w:eastAsia="方正仿宋简体" w:cs="Times New Roman"/>
          <w:sz w:val="32"/>
          <w:szCs w:val="32"/>
        </w:rPr>
        <w:t>万元，主要是增加人员经费；项目支出增长</w:t>
      </w:r>
      <w:r>
        <w:rPr>
          <w:rFonts w:hint="eastAsia" w:ascii="方正仿宋简体" w:hAnsi="Times New Roman" w:eastAsia="方正仿宋简体" w:cs="Times New Roman"/>
          <w:color w:val="FF0000"/>
          <w:sz w:val="32"/>
          <w:szCs w:val="32"/>
          <w:lang w:val="en-US" w:eastAsia="zh-CN"/>
        </w:rPr>
        <w:t>393</w:t>
      </w:r>
      <w:r>
        <w:rPr>
          <w:rFonts w:hint="eastAsia" w:ascii="方正仿宋简体" w:hAnsi="Times New Roman" w:eastAsia="方正仿宋简体" w:cs="Times New Roman"/>
          <w:sz w:val="32"/>
          <w:szCs w:val="32"/>
        </w:rPr>
        <w:t>万元，</w:t>
      </w:r>
      <w:r>
        <w:rPr>
          <w:rFonts w:hint="eastAsia" w:ascii="方正仿宋简体" w:hAnsi="Times New Roman" w:eastAsia="方正仿宋简体" w:cs="Times New Roman"/>
          <w:color w:val="FF0000"/>
          <w:sz w:val="32"/>
          <w:szCs w:val="32"/>
        </w:rPr>
        <w:t>主要是政策性支出增加和新增项目支出</w:t>
      </w:r>
      <w:r>
        <w:rPr>
          <w:rFonts w:hint="eastAsia" w:ascii="方正仿宋简体" w:hAnsi="Times New Roman" w:eastAsia="方正仿宋简体" w:cs="Times New Roman"/>
          <w:sz w:val="32"/>
          <w:szCs w:val="32"/>
        </w:rPr>
        <w:t>。</w:t>
      </w:r>
    </w:p>
    <w:p>
      <w:pPr>
        <w:ind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rPr>
          <w:rFonts w:ascii="黑体" w:hAnsi="黑体" w:eastAsia="黑体" w:cs="Times New Roman"/>
          <w:sz w:val="32"/>
          <w:szCs w:val="32"/>
        </w:rPr>
      </w:pPr>
      <w:r>
        <w:rPr>
          <w:rFonts w:hint="eastAsia" w:ascii="方正仿宋简体" w:hAnsi="Times New Roman" w:eastAsia="方正仿宋简体" w:cs="Times New Roman"/>
          <w:sz w:val="32"/>
          <w:szCs w:val="32"/>
        </w:rPr>
        <w:t>机关运行经费共计安排</w:t>
      </w:r>
      <w:r>
        <w:rPr>
          <w:rFonts w:hint="eastAsia" w:ascii="方正仿宋简体" w:hAnsi="Times New Roman" w:eastAsia="方正仿宋简体" w:cs="Times New Roman"/>
          <w:color w:val="FF0000"/>
          <w:sz w:val="32"/>
          <w:szCs w:val="32"/>
          <w:lang w:val="en-US" w:eastAsia="zh-CN"/>
        </w:rPr>
        <w:t>58.94</w:t>
      </w:r>
      <w:r>
        <w:rPr>
          <w:rFonts w:hint="eastAsia" w:ascii="方正仿宋简体" w:hAnsi="Times New Roman" w:eastAsia="方正仿宋简体"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rPr>
          <w:rFonts w:ascii="黑体" w:hAnsi="黑体" w:eastAsia="黑体" w:cs="Times New Roman"/>
          <w:sz w:val="32"/>
          <w:szCs w:val="32"/>
        </w:rPr>
      </w:pPr>
      <w:r>
        <w:rPr>
          <w:rFonts w:hint="eastAsia" w:ascii="方正仿宋简体" w:hAnsi="Times New Roman" w:eastAsia="方正仿宋简体" w:cs="Times New Roman"/>
          <w:sz w:val="32"/>
          <w:szCs w:val="32"/>
        </w:rPr>
        <w:t>2017年，财政拨款“三公”经费预算安排</w:t>
      </w:r>
      <w:r>
        <w:rPr>
          <w:rFonts w:hint="eastAsia" w:ascii="方正仿宋简体" w:hAnsi="Times New Roman" w:eastAsia="方正仿宋简体" w:cs="Times New Roman"/>
          <w:color w:val="FF0000"/>
          <w:sz w:val="32"/>
          <w:szCs w:val="32"/>
          <w:lang w:val="en-US" w:eastAsia="zh-CN"/>
        </w:rPr>
        <w:t>19.65</w:t>
      </w:r>
      <w:r>
        <w:rPr>
          <w:rFonts w:hint="eastAsia" w:ascii="方正仿宋简体" w:hAnsi="Times New Roman" w:eastAsia="方正仿宋简体" w:cs="Times New Roman"/>
          <w:sz w:val="32"/>
          <w:szCs w:val="32"/>
        </w:rPr>
        <w:t>万元，其中：因公出国（境）费0万元；公务用车购置及运维费</w:t>
      </w:r>
      <w:r>
        <w:rPr>
          <w:rFonts w:hint="eastAsia" w:ascii="方正仿宋简体" w:hAnsi="Times New Roman" w:eastAsia="方正仿宋简体" w:cs="Times New Roman"/>
          <w:color w:val="FF0000"/>
          <w:sz w:val="32"/>
          <w:szCs w:val="32"/>
          <w:lang w:val="en-US" w:eastAsia="zh-CN"/>
        </w:rPr>
        <w:t>0</w:t>
      </w:r>
      <w:r>
        <w:rPr>
          <w:rFonts w:hint="eastAsia" w:ascii="方正仿宋简体" w:hAnsi="Times New Roman" w:eastAsia="方正仿宋简体" w:cs="Times New Roman"/>
          <w:sz w:val="32"/>
          <w:szCs w:val="32"/>
        </w:rPr>
        <w:t>万元；公务接待费</w:t>
      </w:r>
      <w:r>
        <w:rPr>
          <w:rFonts w:hint="eastAsia" w:ascii="方正仿宋简体" w:hAnsi="Times New Roman" w:eastAsia="方正仿宋简体" w:cs="Times New Roman"/>
          <w:color w:val="FF0000"/>
          <w:sz w:val="32"/>
          <w:szCs w:val="32"/>
          <w:lang w:val="en-US" w:eastAsia="zh-CN"/>
        </w:rPr>
        <w:t>10</w:t>
      </w:r>
      <w:r>
        <w:rPr>
          <w:rFonts w:hint="eastAsia" w:ascii="方正仿宋简体" w:hAnsi="Times New Roman" w:eastAsia="方正仿宋简体" w:cs="Times New Roman"/>
          <w:sz w:val="32"/>
          <w:szCs w:val="32"/>
        </w:rPr>
        <w:t xml:space="preserve">万元。“三公”经费较上年下降  </w:t>
      </w:r>
      <w:r>
        <w:rPr>
          <w:rFonts w:hint="eastAsia" w:ascii="方正仿宋简体" w:hAnsi="Times New Roman" w:eastAsia="方正仿宋简体" w:cs="Times New Roman"/>
          <w:sz w:val="32"/>
          <w:szCs w:val="32"/>
          <w:lang w:val="en-US" w:eastAsia="zh-CN"/>
        </w:rPr>
        <w:t>48.15</w:t>
      </w:r>
      <w:r>
        <w:rPr>
          <w:rFonts w:hint="eastAsia" w:ascii="方正仿宋简体" w:hAnsi="Times New Roman" w:eastAsia="方正仿宋简体" w:cs="Times New Roman"/>
          <w:sz w:val="32"/>
          <w:szCs w:val="32"/>
        </w:rPr>
        <w:t>%，主要原因是今年对“三公”经费等一般性支出进行了压减。</w:t>
      </w:r>
    </w:p>
    <w:p>
      <w:pPr>
        <w:ind w:firstLine="640"/>
        <w:rPr>
          <w:rFonts w:hint="eastAsia" w:ascii="方正仿宋简体" w:hAnsi="Times New Roman" w:eastAsia="方正仿宋简体" w:cs="Times New Roman"/>
          <w:sz w:val="32"/>
          <w:szCs w:val="32"/>
          <w:lang w:eastAsia="zh-CN"/>
        </w:rPr>
      </w:pPr>
      <w:r>
        <w:rPr>
          <w:rFonts w:hint="eastAsia" w:ascii="黑体" w:hAnsi="黑体" w:eastAsia="黑体" w:cs="Times New Roman"/>
          <w:sz w:val="32"/>
          <w:szCs w:val="32"/>
        </w:rPr>
        <w:t>绩效预算信息</w:t>
      </w:r>
      <w:r>
        <w:rPr>
          <w:rStyle w:val="10"/>
          <w:rFonts w:hint="eastAsia"/>
        </w:rPr>
        <w:t xml:space="preserve"> </w:t>
      </w:r>
      <w:r>
        <w:rPr>
          <w:rFonts w:hint="eastAsia" w:ascii="方正仿宋简体" w:hAnsi="Times New Roman" w:eastAsia="方正仿宋简体" w:cs="Times New Roman"/>
          <w:sz w:val="32"/>
          <w:szCs w:val="32"/>
        </w:rPr>
        <w:t>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rPr>
        <w:t xml:space="preserve">                                 加强煤矿的安全生产执法、职业卫生监管和隐患排查力度；拟订并组织实施全市煤矿整合关闭等整顿政策；预案编制和备案管理，结合事故多发、易发，应急管理基础薄弱的地区、领域、时段、岗位等重点，组织开展实战化应急演练</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rPr>
        <w:t>加强应急救援队伍、装备和信息系统建设，完善安全生产应急平台，提高全市应急救援协调指挥能力和应急处置能力；实施市救援指挥中心能力建设，加强指挥机构管理和专业应急救援队伍训练，统一规划安全生产应急平台信息化建设和救援通信、信息网络运行保障，及时进行重大危险源预警、技术监控工作，发布预警信息</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rPr>
        <w:t>启动应急预案，组织协调救援力量、装备、专家参与</w:t>
      </w:r>
      <w:r>
        <w:rPr>
          <w:rFonts w:hint="eastAsia" w:ascii="方正仿宋简体" w:hAnsi="Times New Roman" w:eastAsia="方正仿宋简体" w:cs="Times New Roman"/>
          <w:sz w:val="32"/>
          <w:szCs w:val="32"/>
          <w:lang w:eastAsia="zh-CN"/>
        </w:rPr>
        <w:t>；加强对本区责任范围内公共秩序的管理；严格执行行政处罚的同时，积极进行文明执法，严格按照执法程序办事；做好领导调度与计划安排工作。</w:t>
      </w:r>
      <w:bookmarkStart w:id="0" w:name="_Toc471398463"/>
    </w:p>
    <w:p>
      <w:pPr>
        <w:numPr>
          <w:ilvl w:val="0"/>
          <w:numId w:val="1"/>
        </w:numPr>
        <w:ind w:firstLine="640"/>
        <w:rPr>
          <w:rFonts w:hint="eastAsia" w:ascii="方正仿宋简体" w:hAnsi="Times New Roman" w:eastAsia="方正仿宋简体" w:cs="Times New Roman"/>
          <w:b/>
          <w:sz w:val="32"/>
          <w:szCs w:val="32"/>
          <w:lang w:eastAsia="zh-CN"/>
        </w:rPr>
      </w:pPr>
      <w:r>
        <w:rPr>
          <w:rFonts w:hint="eastAsia" w:ascii="方正仿宋简体" w:hAnsi="Times New Roman" w:eastAsia="方正仿宋简体" w:cs="Times New Roman"/>
          <w:sz w:val="32"/>
          <w:szCs w:val="32"/>
          <w:lang w:eastAsia="zh-CN"/>
        </w:rPr>
        <w:t>绩效预算信息</w:t>
      </w:r>
    </w:p>
    <w:p>
      <w:pPr>
        <w:numPr>
          <w:numId w:val="0"/>
        </w:numPr>
        <w:ind w:firstLine="640" w:firstLineChars="200"/>
        <w:rPr>
          <w:rFonts w:hint="eastAsia" w:ascii="方正仿宋简体" w:hAnsi="Times New Roman" w:eastAsia="方正仿宋简体" w:cs="Times New Roman"/>
          <w:sz w:val="32"/>
          <w:szCs w:val="32"/>
          <w:lang w:eastAsia="zh-CN"/>
        </w:rPr>
      </w:pPr>
      <w:r>
        <w:rPr>
          <w:rFonts w:hint="eastAsia" w:ascii="方正仿宋简体" w:hAnsi="Times New Roman" w:eastAsia="方正仿宋简体" w:cs="Times New Roman"/>
          <w:sz w:val="32"/>
          <w:szCs w:val="32"/>
          <w:lang w:eastAsia="zh-CN"/>
        </w:rPr>
        <w:t>开展业务培训。负责局职责范围内法律法规解释、研究、宣传工作。组织执法队伍培训及考核；组织执法人员执法证的申请工作；监督执法人员履行职责，考核执法案件的办案质量。法规业务管理对接上级单位来我局培训，组织执法队伍考试，提高业务水平。加大法律法规的宣传力度，对执法案卷严格审查。对已与我局签订执法委托授权书的市级单位完成对接，组织执法队员参加执法证考试，加大法律法规普及宣传力度，对执法案卷进行检查。参加业务培训（取得执法证人数及比例</w:t>
      </w:r>
      <w:r>
        <w:rPr>
          <w:rFonts w:hint="eastAsia" w:ascii="方正仿宋简体" w:hAnsi="Times New Roman" w:eastAsia="方正仿宋简体" w:cs="Times New Roman"/>
          <w:sz w:val="32"/>
          <w:szCs w:val="32"/>
          <w:lang w:val="en-US" w:eastAsia="zh-CN"/>
        </w:rPr>
        <w:t>,效果指标评价标准为≥98%为优，≥95%为良，≥92%为中，&lt;90%为差。</w:t>
      </w:r>
      <w:bookmarkStart w:id="1" w:name="_GoBack"/>
      <w:r>
        <w:rPr>
          <w:rFonts w:hint="eastAsia" w:ascii="方正仿宋简体" w:hAnsi="Times New Roman" w:eastAsia="方正仿宋简体" w:cs="Times New Roman"/>
          <w:sz w:val="32"/>
          <w:szCs w:val="32"/>
          <w:lang w:eastAsia="zh-CN"/>
        </w:rPr>
        <w:t>≥98%为优，≥95%为良，≥92%为中，&lt;92%为差。统计信息采用量(篇)统计信息、调研报告受到领导批示或被采用的数量≥6为优，≥5为良，≥3为中，&lt;3为差。）</w:t>
      </w:r>
    </w:p>
    <w:bookmarkEnd w:id="1"/>
    <w:p>
      <w:pPr>
        <w:ind w:firstLine="64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lang w:eastAsia="zh-CN"/>
        </w:rPr>
        <w:t>集中整治“双违”在全区开展集中整治违法用地违法建设专项行动。根据市、区两级《集中整治违法用地违法建设专项行动实施方案》要求，协调组织各成员单位开展集中整治“双违”专项行动，对全区违法用地违法建设进行整改、拆除。整治拆除“双违”</w:t>
      </w:r>
      <w:bookmarkEnd w:id="0"/>
      <w:r>
        <w:rPr>
          <w:rFonts w:hint="eastAsia" w:ascii="方正仿宋简体" w:hAnsi="Times New Roman" w:eastAsia="方正仿宋简体" w:cs="Times New Roman"/>
          <w:sz w:val="32"/>
          <w:szCs w:val="32"/>
          <w:lang w:eastAsia="zh-CN"/>
        </w:rPr>
        <w:t>通过组织开展集中整治拆除行动、动员群众自行拆除、帮拆等方式，整治拆除“双违”。完成对“双违”整治拆除工作。整治拆除完成率（已整治拆除的违建数占全部违建数的比率</w:t>
      </w:r>
      <w:r>
        <w:rPr>
          <w:rFonts w:hint="eastAsia" w:ascii="方正仿宋简体" w:hAnsi="Times New Roman" w:eastAsia="方正仿宋简体" w:cs="Times New Roman"/>
          <w:sz w:val="32"/>
          <w:szCs w:val="32"/>
          <w:lang w:val="en-US" w:eastAsia="zh-CN"/>
        </w:rPr>
        <w:t>效果指标评价标准为</w:t>
      </w:r>
      <w:r>
        <w:rPr>
          <w:rFonts w:hint="eastAsia" w:ascii="方正仿宋简体" w:hAnsi="Times New Roman" w:eastAsia="方正仿宋简体" w:cs="Times New Roman"/>
          <w:sz w:val="32"/>
          <w:szCs w:val="32"/>
          <w:lang w:val="zh-CN" w:eastAsia="zh-CN"/>
        </w:rPr>
        <w:t>≥98%为优</w:t>
      </w:r>
      <w:r>
        <w:rPr>
          <w:rFonts w:hint="eastAsia" w:ascii="方正仿宋简体" w:hAnsi="Times New Roman" w:eastAsia="方正仿宋简体" w:cs="Times New Roman"/>
          <w:sz w:val="32"/>
          <w:szCs w:val="32"/>
          <w:lang w:val="zh-CN"/>
        </w:rPr>
        <w:t>，≥95%为良，≥92%为中，&lt;92%为差。）</w:t>
      </w:r>
    </w:p>
    <w:p>
      <w:pPr>
        <w:ind w:firstLine="640"/>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rPr>
        <w:t>日常巡查监管组成27个巡查小组，全时段、分区域不间断巡查。开展日常巡查，对新增违建及时发现、及时制止、及时拆除。控制新增“双违”数零增长</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rPr>
        <w:t>把新增“双违”控制在萌芽状态，避免已拆建筑死灰复燃。</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lang w:val="en-US" w:eastAsia="zh-CN"/>
        </w:rPr>
        <w:t>效果指标评价标准为&lt;0为优，≤3为良，≤5为中，≤6为差）</w:t>
      </w:r>
    </w:p>
    <w:p>
      <w:pPr>
        <w:ind w:firstLine="64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lang w:val="en-US" w:eastAsia="zh-CN"/>
        </w:rPr>
        <w:t>完善安监站建设工作向上级汇报，落实安监站人员编制、待遇、经费、装备、车辆问题。完善4个街道办事处“六个一”配套工作。加强安监站建设工作，督导安监落实人员编制、待遇、经费、装备、车辆问题。完成“六个一”配套标准，补齐安监站建设短板，提升安监站监管能力。督导四个安监站按时完成“六个一”建设标准，力争每个安监站有一个独立办公场所、有一套现代化办公设备、有一台执法车辆、有一套录音、照相、摄像取证设备、有一套现场检验检测装备、每人有一套个人防护器材。</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lang w:val="en-US" w:eastAsia="zh-CN"/>
        </w:rPr>
        <w:t>效果指标评价标准为≥98为优，≥95%为良，≥92%为中，&lt;92%为差。）</w:t>
      </w:r>
    </w:p>
    <w:p>
      <w:pPr>
        <w:ind w:firstLine="640"/>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加强应急管理工作。加强企业应急培训，完成所有企业应急预案的修订、备案工作；条件成熟时上报管委，开展应急救援演练，增强应急救援预案的实用性。提高避免事故、防止事故、抵抗事故的能力，最大限度减少事故危害。加强应急管理工作。完成所有企业应急预案的修订、备案工作，根据《河北省应急管理规范化企业创建工作标准》完成企业规范化创建工作；选择一项应急预案上报管委，开展应急救援演练，增强应急救援预案的实用性。做好生产安全事故“最后一道防线”准备工作，加强应急救援队伍建设，提高避免事故、防止事故、抵抗事故的能力，最大限度减少事故危害。不断完善应急预案操作性、实用性，确保一旦发生生产安全事故能够安全有效进行处置。所有企业完成应急预案修订备案工作。到各行业监管部门进行备案并出具备案回执。（效果指标评价标准为≥98%为优，≥95%为良，≥92%为中，&lt;92%为差。）重点企业开展一次应急演练，企业将应急演练情况上报上级主管部门（效果指标评价标准为≥98%为优，≥95%为良，≥92%为中，&lt;92%为差。）</w:t>
      </w:r>
    </w:p>
    <w:p>
      <w:pPr>
        <w:ind w:firstLine="640"/>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扎实推进县域安全监管规范化建设工作。在新区各部门、街道办、村、企业推进安全监管规范化建设。落实“三级五覆盖”责任体系建设，县域安全监管实现“党政同责、一岗双责”责任体系健全，各项安全监管制度完善，安全监管机制运行顺畅。</w:t>
      </w:r>
    </w:p>
    <w:p>
      <w:pPr>
        <w:numPr>
          <w:ilvl w:val="0"/>
          <w:numId w:val="0"/>
        </w:numPr>
        <w:rPr>
          <w:rFonts w:ascii="Times New Roman" w:hAnsi="Times New Roman" w:eastAsia="方正仿宋_GBK" w:cs="Times New Roman"/>
          <w:color w:val="FF0000"/>
          <w:sz w:val="32"/>
          <w:szCs w:val="24"/>
        </w:rPr>
      </w:pPr>
      <w:r>
        <w:rPr>
          <w:rFonts w:hint="eastAsia" w:ascii="黑体" w:hAnsi="黑体" w:eastAsia="黑体" w:cs="Times New Roman"/>
          <w:sz w:val="32"/>
          <w:szCs w:val="32"/>
        </w:rPr>
        <w:t>六、政府采购预算情况</w:t>
      </w:r>
    </w:p>
    <w:p>
      <w:pPr>
        <w:ind w:firstLine="640"/>
        <w:rPr>
          <w:rFonts w:ascii="方正仿宋简体" w:hAnsi="黑体" w:eastAsia="方正仿宋简体" w:cs="Times New Roman"/>
          <w:sz w:val="32"/>
          <w:szCs w:val="32"/>
        </w:rPr>
      </w:pPr>
      <w:r>
        <w:rPr>
          <w:rFonts w:hint="eastAsia" w:ascii="方正仿宋简体" w:hAnsi="Times New Roman" w:eastAsia="方正仿宋简体" w:cs="Times New Roman"/>
          <w:color w:val="FF0000"/>
          <w:sz w:val="32"/>
          <w:szCs w:val="24"/>
        </w:rPr>
        <w:t>本部门无政府采购预算。</w:t>
      </w:r>
    </w:p>
    <w:p>
      <w:pPr>
        <w:ind w:firstLine="64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hint="eastAsia" w:ascii="方正仿宋简体" w:hAnsi="Times New Roman" w:eastAsia="方正仿宋简体" w:cs="Times New Roman"/>
          <w:color w:val="FF0000"/>
          <w:sz w:val="32"/>
          <w:szCs w:val="24"/>
          <w:lang w:eastAsia="zh-CN"/>
        </w:rPr>
      </w:pPr>
      <w:r>
        <w:rPr>
          <w:rFonts w:hint="eastAsia" w:ascii="方正仿宋简体" w:hAnsi="Times New Roman" w:eastAsia="方正仿宋简体" w:cs="Times New Roman"/>
          <w:color w:val="FF0000"/>
          <w:sz w:val="32"/>
          <w:szCs w:val="24"/>
        </w:rPr>
        <w:t>上年末固定资产金额为</w:t>
      </w:r>
      <w:r>
        <w:rPr>
          <w:rFonts w:hint="eastAsia" w:ascii="方正仿宋简体" w:hAnsi="Times New Roman" w:eastAsia="方正仿宋简体" w:cs="Times New Roman"/>
          <w:color w:val="FF0000"/>
          <w:sz w:val="32"/>
          <w:szCs w:val="24"/>
          <w:lang w:val="en-US" w:eastAsia="zh-CN"/>
        </w:rPr>
        <w:t>293.92</w:t>
      </w:r>
      <w:r>
        <w:rPr>
          <w:rFonts w:hint="eastAsia" w:ascii="方正仿宋简体" w:hAnsi="Times New Roman" w:eastAsia="方正仿宋简体" w:cs="Times New Roman"/>
          <w:color w:val="FF0000"/>
          <w:sz w:val="32"/>
          <w:szCs w:val="24"/>
        </w:rPr>
        <w:t>万元</w:t>
      </w:r>
      <w:r>
        <w:rPr>
          <w:rFonts w:hint="eastAsia" w:ascii="方正仿宋简体" w:hAnsi="Times New Roman" w:eastAsia="方正仿宋简体" w:cs="Times New Roman"/>
          <w:color w:val="FF0000"/>
          <w:sz w:val="32"/>
          <w:szCs w:val="24"/>
          <w:lang w:eastAsia="zh-CN"/>
        </w:rPr>
        <w:t>，均作为固定资产入账。</w:t>
      </w:r>
    </w:p>
    <w:p>
      <w:pPr>
        <w:ind w:firstLine="640"/>
        <w:rPr>
          <w:rFonts w:ascii="黑体" w:hAnsi="黑体" w:eastAsia="黑体" w:cs="Times New Roman"/>
          <w:sz w:val="32"/>
          <w:szCs w:val="32"/>
        </w:rPr>
      </w:pPr>
      <w:r>
        <w:rPr>
          <w:rFonts w:hint="eastAsia" w:ascii="黑体" w:hAnsi="黑体" w:eastAsia="黑体" w:cs="Times New Roman"/>
          <w:sz w:val="32"/>
          <w:szCs w:val="32"/>
        </w:rPr>
        <w:t>八、名词解释</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ind w:firstLine="64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无。</w:t>
      </w:r>
    </w:p>
    <w:p>
      <w:pPr>
        <w:ind w:firstLine="640" w:firstLineChars="200"/>
        <w:rPr>
          <w:rFonts w:ascii="仿宋_GB2312" w:hAnsi="仿宋_GB2312" w:eastAsia="仿宋_GB2312" w:cs="仿宋_GB2312"/>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方正兰亭超细黑简体"/>
    <w:panose1 w:val="00000000000000000000"/>
    <w:charset w:val="86"/>
    <w:family w:val="auto"/>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仿宋_GB2312">
    <w:altName w:val="宋体"/>
    <w:panose1 w:val="00000000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B7EC"/>
    <w:multiLevelType w:val="singleLevel"/>
    <w:tmpl w:val="59F2B7E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41994"/>
    <w:rsid w:val="00075D5F"/>
    <w:rsid w:val="000B3E8D"/>
    <w:rsid w:val="000C3A19"/>
    <w:rsid w:val="000D3F0D"/>
    <w:rsid w:val="001245BB"/>
    <w:rsid w:val="00241FD4"/>
    <w:rsid w:val="00251B12"/>
    <w:rsid w:val="00296113"/>
    <w:rsid w:val="002F3E58"/>
    <w:rsid w:val="0030542C"/>
    <w:rsid w:val="00311B7A"/>
    <w:rsid w:val="00314C7B"/>
    <w:rsid w:val="00346B63"/>
    <w:rsid w:val="00364058"/>
    <w:rsid w:val="00451871"/>
    <w:rsid w:val="00472923"/>
    <w:rsid w:val="004E3066"/>
    <w:rsid w:val="004E74CD"/>
    <w:rsid w:val="00573562"/>
    <w:rsid w:val="00614A29"/>
    <w:rsid w:val="006509AF"/>
    <w:rsid w:val="006D0BF7"/>
    <w:rsid w:val="006E3FDA"/>
    <w:rsid w:val="00751FE1"/>
    <w:rsid w:val="0075393C"/>
    <w:rsid w:val="00776C0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A72D2E"/>
    <w:rsid w:val="00A911E7"/>
    <w:rsid w:val="00A939D9"/>
    <w:rsid w:val="00AB1673"/>
    <w:rsid w:val="00AD44A3"/>
    <w:rsid w:val="00B20712"/>
    <w:rsid w:val="00B43238"/>
    <w:rsid w:val="00B75216"/>
    <w:rsid w:val="00B91D52"/>
    <w:rsid w:val="00BA1ACD"/>
    <w:rsid w:val="00CA7176"/>
    <w:rsid w:val="00CC163D"/>
    <w:rsid w:val="00CD2773"/>
    <w:rsid w:val="00CE143B"/>
    <w:rsid w:val="00D74B13"/>
    <w:rsid w:val="00D8117B"/>
    <w:rsid w:val="00E167C7"/>
    <w:rsid w:val="00EC47F6"/>
    <w:rsid w:val="00F24692"/>
    <w:rsid w:val="00F66032"/>
    <w:rsid w:val="00F958C2"/>
    <w:rsid w:val="01FB23CB"/>
    <w:rsid w:val="0B0D77B0"/>
    <w:rsid w:val="0C3D5924"/>
    <w:rsid w:val="0D2064C0"/>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412551E"/>
    <w:rsid w:val="45C76287"/>
    <w:rsid w:val="45DC01D3"/>
    <w:rsid w:val="471D5503"/>
    <w:rsid w:val="492C0AE6"/>
    <w:rsid w:val="4A5B700A"/>
    <w:rsid w:val="4DF57B76"/>
    <w:rsid w:val="541C1C0A"/>
    <w:rsid w:val="55145A25"/>
    <w:rsid w:val="55383E38"/>
    <w:rsid w:val="5911172D"/>
    <w:rsid w:val="59870472"/>
    <w:rsid w:val="5E731884"/>
    <w:rsid w:val="67394F6C"/>
    <w:rsid w:val="67706CC4"/>
    <w:rsid w:val="678A783D"/>
    <w:rsid w:val="685B7F7B"/>
    <w:rsid w:val="694E58E7"/>
    <w:rsid w:val="6C053E44"/>
    <w:rsid w:val="6CA86ED0"/>
    <w:rsid w:val="700C0A04"/>
    <w:rsid w:val="724C7A91"/>
    <w:rsid w:val="72617A36"/>
    <w:rsid w:val="7EB2342C"/>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0"/>
    <w:rPr>
      <w:b/>
      <w:bCs/>
    </w:rPr>
  </w:style>
  <w:style w:type="paragraph" w:styleId="3">
    <w:name w:val="annotation text"/>
    <w:basedOn w:val="1"/>
    <w:link w:val="14"/>
    <w:unhideWhenUsed/>
    <w:qFormat/>
    <w:uiPriority w:val="0"/>
    <w:pPr>
      <w:jc w:val="left"/>
    </w:pPr>
  </w:style>
  <w:style w:type="paragraph" w:styleId="4">
    <w:name w:val="Balloon Text"/>
    <w:basedOn w:val="1"/>
    <w:link w:val="16"/>
    <w:unhideWhenUsed/>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uiPriority w:val="0"/>
    <w:rPr>
      <w:rFonts w:ascii="Times New Roman" w:hAnsi="Times New Roman" w:cs="Times New Roman"/>
      <w:szCs w:val="24"/>
    </w:rPr>
  </w:style>
  <w:style w:type="paragraph" w:styleId="8">
    <w:name w:val="toc 2"/>
    <w:basedOn w:val="1"/>
    <w:next w:val="1"/>
    <w:qFormat/>
    <w:uiPriority w:val="0"/>
    <w:pPr>
      <w:ind w:left="420" w:leftChars="200"/>
    </w:pPr>
    <w:rPr>
      <w:rFonts w:ascii="Times New Roman" w:hAnsi="Times New Roman" w:cs="Times New Roman"/>
      <w:szCs w:val="24"/>
    </w:rPr>
  </w:style>
  <w:style w:type="character" w:styleId="10">
    <w:name w:val="annotation reference"/>
    <w:basedOn w:val="9"/>
    <w:unhideWhenUsed/>
    <w:qFormat/>
    <w:uiPriority w:val="0"/>
    <w:rPr>
      <w:sz w:val="21"/>
      <w:szCs w:val="21"/>
    </w:rPr>
  </w:style>
  <w:style w:type="character" w:customStyle="1" w:styleId="12">
    <w:name w:val="页眉 Char"/>
    <w:basedOn w:val="9"/>
    <w:link w:val="6"/>
    <w:qFormat/>
    <w:uiPriority w:val="0"/>
    <w:rPr>
      <w:rFonts w:ascii="Times New Roman" w:hAnsi="Times New Roman" w:eastAsia="宋体" w:cs="Times New Roman"/>
      <w:sz w:val="18"/>
      <w:szCs w:val="18"/>
    </w:rPr>
  </w:style>
  <w:style w:type="character" w:customStyle="1" w:styleId="13">
    <w:name w:val="页脚 Char"/>
    <w:basedOn w:val="9"/>
    <w:link w:val="5"/>
    <w:qFormat/>
    <w:uiPriority w:val="0"/>
    <w:rPr>
      <w:rFonts w:ascii="Times New Roman" w:hAnsi="Times New Roman" w:eastAsia="宋体" w:cs="Times New Roman"/>
      <w:sz w:val="18"/>
      <w:szCs w:val="18"/>
    </w:rPr>
  </w:style>
  <w:style w:type="character" w:customStyle="1" w:styleId="14">
    <w:name w:val="批注文字 Char"/>
    <w:basedOn w:val="9"/>
    <w:link w:val="3"/>
    <w:semiHidden/>
    <w:qFormat/>
    <w:uiPriority w:val="0"/>
    <w:rPr>
      <w:rFonts w:ascii="Calibri" w:hAnsi="Calibri" w:cs="黑体"/>
      <w:kern w:val="2"/>
      <w:sz w:val="21"/>
      <w:szCs w:val="22"/>
    </w:rPr>
  </w:style>
  <w:style w:type="character" w:customStyle="1" w:styleId="15">
    <w:name w:val="批注主题 Char"/>
    <w:basedOn w:val="14"/>
    <w:link w:val="2"/>
    <w:semiHidden/>
    <w:uiPriority w:val="0"/>
    <w:rPr>
      <w:rFonts w:ascii="Calibri" w:hAnsi="Calibri" w:cs="黑体"/>
      <w:b/>
      <w:bCs/>
      <w:kern w:val="2"/>
      <w:sz w:val="21"/>
      <w:szCs w:val="22"/>
    </w:rPr>
  </w:style>
  <w:style w:type="character" w:customStyle="1" w:styleId="16">
    <w:name w:val="批注框文本 Char"/>
    <w:basedOn w:val="9"/>
    <w:link w:val="4"/>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290</Words>
  <Characters>1655</Characters>
  <Lines>13</Lines>
  <Paragraphs>3</Paragraphs>
  <ScaleCrop>false</ScaleCrop>
  <LinksUpToDate>false</LinksUpToDate>
  <CharactersWithSpaces>1942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Administrator</cp:lastModifiedBy>
  <cp:lastPrinted>2017-05-05T02:45:00Z</cp:lastPrinted>
  <dcterms:modified xsi:type="dcterms:W3CDTF">2017-10-30T05:43:58Z</dcterms:modified>
  <dc:title>河北省2017年部门预算信息公开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