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北戴河新区</w:t>
      </w:r>
      <w:r>
        <w:rPr>
          <w:rFonts w:hint="eastAsia" w:ascii="方正小标宋简体" w:hAnsi="Times New Roman" w:eastAsia="方正小标宋简体" w:cs="Times New Roman"/>
          <w:sz w:val="44"/>
          <w:szCs w:val="44"/>
          <w:lang w:eastAsia="zh-CN"/>
        </w:rPr>
        <w:t>人民检察院</w:t>
      </w:r>
      <w:r>
        <w:rPr>
          <w:rFonts w:hint="eastAsia" w:ascii="方正小标宋简体" w:hAnsi="Times New Roman" w:eastAsia="方正小标宋简体" w:cs="Times New Roman"/>
          <w:sz w:val="44"/>
          <w:szCs w:val="44"/>
        </w:rPr>
        <w:t>2017年部门预算信息公开说明</w:t>
      </w:r>
    </w:p>
    <w:p>
      <w:pPr>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按照《预算法》、《地方预决算公开操作规程》和《河北省省级预算公开办法》规定，现将2017年部门预算公开如下：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jc w:val="left"/>
        <w:rPr>
          <w:rFonts w:ascii="方正仿宋简体" w:hAnsi="Times New Roman" w:eastAsia="方正仿宋简体" w:cs="Times New Roman"/>
          <w:color w:val="FF0000"/>
          <w:sz w:val="32"/>
          <w:szCs w:val="32"/>
        </w:rPr>
      </w:pPr>
      <w:r>
        <w:rPr>
          <w:rFonts w:hint="eastAsia" w:ascii="方正仿宋简体" w:hAnsi="Times New Roman" w:eastAsia="方正仿宋简体" w:cs="Times New Roman"/>
          <w:b/>
          <w:sz w:val="32"/>
          <w:szCs w:val="32"/>
        </w:rPr>
        <w:t>部门</w:t>
      </w:r>
      <w:r>
        <w:rPr>
          <w:rFonts w:ascii="方正仿宋简体" w:hAnsi="Times New Roman" w:eastAsia="方正仿宋简体" w:cs="Times New Roman"/>
          <w:b/>
          <w:sz w:val="32"/>
          <w:szCs w:val="32"/>
        </w:rPr>
        <w:t>职责：</w:t>
      </w:r>
      <w:r>
        <w:rPr>
          <w:rFonts w:hint="eastAsia" w:ascii="方正黑体_GBK" w:eastAsia="方正黑体_GBK"/>
          <w:sz w:val="28"/>
        </w:rPr>
        <w:t>反贪污贿赂局（反渎职侵权局）负责对辖区内职务犯罪案件的初查、立案侦查和移送起诉；负责职务犯罪预防工作；负责对刑罚执行活动的监督；执行传唤、拘传和协助执行其它强制措施，参与搜查、提押、看管犯罪嫌疑人、被告人、送达法律文书；负责本院接待群众来访场所的秩序和安全，参与处置突发事件。综合办公室</w:t>
      </w:r>
      <w:r>
        <w:rPr>
          <w:rFonts w:ascii="方正黑体_GBK" w:eastAsia="方正黑体_GBK"/>
          <w:sz w:val="28"/>
        </w:rPr>
        <w:t xml:space="preserve"> </w:t>
      </w:r>
      <w:r>
        <w:rPr>
          <w:rFonts w:hint="eastAsia" w:ascii="方正黑体_GBK" w:eastAsia="方正黑体_GBK"/>
          <w:sz w:val="28"/>
        </w:rPr>
        <w:t>（纪检监察室、政治处）负责文件起草、秘书事务、机要通信、会议组织、工作协调、督办催办、文件处理、档案管理、保密和外事等工作；负责本院计财装备、检察技术、法律政策研究工作；负责干部队伍管理、机关党的建设、新闻宣传、教育培训、纪检检察等工作。案件管理办公室负责对受理案件的登记和归口分流；负责案件统计报表工作；对所办案件进行事前、事中、事后全程动态监督；负责举报、控告申诉和刑事赔偿工作；负责人民监督员办公室工作。刑事检察科负责辖区内刑事犯罪案件的审查逮捕、审查起诉、出庭公诉和社会管理工作；依法履行立案、侦查活动、监外执行、审判活动等监督职能；依法对民事、行政诉讼和审判活动进行法律监督。</w:t>
      </w:r>
    </w:p>
    <w:p>
      <w:pPr>
        <w:autoSpaceDE w:val="0"/>
        <w:autoSpaceDN w:val="0"/>
        <w:adjustRightInd w:val="0"/>
        <w:ind w:firstLine="640" w:firstLineChars="200"/>
        <w:jc w:val="left"/>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机构设置：</w:t>
      </w:r>
    </w:p>
    <w:p>
      <w:pPr>
        <w:jc w:val="center"/>
        <w:outlineLvl w:val="0"/>
        <w:rPr>
          <w:rFonts w:ascii="Times New Roman" w:hAnsi="Times New Roman" w:eastAsia="方正小标宋_GBK" w:cs="Times New Roman"/>
          <w:sz w:val="32"/>
          <w:szCs w:val="24"/>
        </w:rPr>
      </w:pPr>
      <w:commentRangeStart w:id="0"/>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commentRangeEnd w:id="0"/>
      <w:r>
        <w:rPr>
          <w:rStyle w:val="10"/>
        </w:rPr>
        <w:commentReference w:id="0"/>
      </w:r>
    </w:p>
    <w:tbl>
      <w:tblPr>
        <w:tblStyle w:val="11"/>
        <w:tblW w:w="9729"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color w:val="FF0000"/>
                <w:szCs w:val="24"/>
                <w:lang w:eastAsia="zh-CN"/>
              </w:rPr>
            </w:pPr>
            <w:r>
              <w:rPr>
                <w:rFonts w:hint="eastAsia" w:ascii="方正书宋_GBK" w:eastAsia="方正书宋_GBK"/>
                <w:lang w:eastAsia="zh-CN"/>
              </w:rPr>
              <w:t>秦皇岛北戴河新区人民检察院</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lang w:eastAsia="zh-CN"/>
              </w:rPr>
              <w:t>正</w:t>
            </w:r>
            <w:r>
              <w:rPr>
                <w:rFonts w:hint="eastAsia" w:ascii="方正书宋_GBK" w:eastAsia="方正书宋_GBK"/>
              </w:rPr>
              <w:t>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FF0000"/>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 xml:space="preserve">  </w:t>
            </w: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按照预算管理有关规定，目前</w:t>
      </w:r>
      <w:r>
        <w:rPr>
          <w:rFonts w:hint="eastAsia" w:ascii="方正仿宋简体" w:hAnsi="Times New Roman" w:eastAsia="方正仿宋简体" w:cs="Times New Roman"/>
          <w:sz w:val="32"/>
          <w:szCs w:val="32"/>
        </w:rPr>
        <w:t>我区</w:t>
      </w:r>
      <w:r>
        <w:rPr>
          <w:rFonts w:ascii="方正仿宋简体" w:hAnsi="Times New Roman" w:eastAsia="方正仿宋简体" w:cs="Times New Roman"/>
          <w:sz w:val="32"/>
          <w:szCs w:val="32"/>
        </w:rPr>
        <w:t>部门预算的编制实行综合预算制度，即全部收入和支出都反映</w:t>
      </w:r>
      <w:r>
        <w:rPr>
          <w:rFonts w:hint="eastAsia" w:ascii="方正仿宋简体" w:hAnsi="Times New Roman" w:eastAsia="方正仿宋简体" w:cs="Times New Roman"/>
          <w:sz w:val="32"/>
          <w:szCs w:val="32"/>
        </w:rPr>
        <w:t>在</w:t>
      </w:r>
      <w:r>
        <w:rPr>
          <w:rFonts w:ascii="方正仿宋简体" w:hAnsi="Times New Roman" w:eastAsia="方正仿宋简体" w:cs="Times New Roman"/>
          <w:sz w:val="32"/>
          <w:szCs w:val="32"/>
        </w:rPr>
        <w:t>预算中。</w:t>
      </w:r>
      <w:r>
        <w:rPr>
          <w:rFonts w:hint="eastAsia" w:ascii="方正仿宋简体" w:hAnsi="Times New Roman" w:eastAsia="方正仿宋简体" w:cs="Times New Roman"/>
          <w:sz w:val="32"/>
          <w:szCs w:val="32"/>
          <w:lang w:eastAsia="zh-CN"/>
        </w:rPr>
        <w:t>秦皇岛北戴河新区人民检察院</w:t>
      </w:r>
      <w:r>
        <w:rPr>
          <w:rFonts w:ascii="方正仿宋简体" w:hAnsi="Times New Roman" w:eastAsia="方正仿宋简体" w:cs="Times New Roman"/>
          <w:sz w:val="32"/>
          <w:szCs w:val="32"/>
        </w:rPr>
        <w:t>的收支包含在部门预算中。</w:t>
      </w:r>
    </w:p>
    <w:p>
      <w:pPr>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1.</w:t>
      </w:r>
      <w:r>
        <w:rPr>
          <w:rFonts w:ascii="方正仿宋简体" w:hAnsi="Times New Roman" w:eastAsia="方正仿宋简体" w:cs="Times New Roman"/>
          <w:b/>
          <w:sz w:val="32"/>
          <w:szCs w:val="32"/>
        </w:rPr>
        <w:t>收入说明</w:t>
      </w:r>
    </w:p>
    <w:p>
      <w:pPr>
        <w:ind w:firstLine="640" w:firstLineChars="200"/>
        <w:rPr>
          <w:rFonts w:hint="eastAsia" w:ascii="方正仿宋简体" w:hAnsi="Times New Roman" w:eastAsia="方正仿宋简体" w:cs="Times New Roman"/>
          <w:sz w:val="32"/>
          <w:szCs w:val="32"/>
          <w:lang w:eastAsia="zh-CN"/>
        </w:rPr>
      </w:pPr>
      <w:r>
        <w:rPr>
          <w:rFonts w:hint="eastAsia" w:ascii="方正仿宋简体" w:hAnsi="Times New Roman" w:eastAsia="方正仿宋简体" w:cs="Times New Roman"/>
          <w:sz w:val="32"/>
          <w:szCs w:val="32"/>
        </w:rPr>
        <w:t>放映本部门当年全部收入，2017年预算收</w:t>
      </w:r>
      <w:r>
        <w:rPr>
          <w:rFonts w:hint="eastAsia" w:ascii="方正仿宋简体" w:hAnsi="Times New Roman" w:eastAsia="方正仿宋简体" w:cs="Times New Roman"/>
          <w:sz w:val="32"/>
          <w:szCs w:val="32"/>
          <w:lang w:eastAsia="zh-CN"/>
        </w:rPr>
        <w:t>入</w:t>
      </w:r>
      <w:r>
        <w:rPr>
          <w:rFonts w:hint="eastAsia" w:ascii="方正仿宋简体" w:hAnsi="Times New Roman" w:eastAsia="方正仿宋简体" w:cs="Times New Roman"/>
          <w:sz w:val="32"/>
          <w:szCs w:val="32"/>
          <w:lang w:val="en-US" w:eastAsia="zh-CN"/>
        </w:rPr>
        <w:t>766.74</w:t>
      </w:r>
      <w:r>
        <w:rPr>
          <w:rFonts w:hint="eastAsia" w:ascii="方正仿宋简体" w:hAnsi="Times New Roman" w:eastAsia="方正仿宋简体" w:cs="Times New Roman"/>
          <w:sz w:val="32"/>
          <w:szCs w:val="32"/>
          <w:lang w:eastAsia="zh-CN"/>
        </w:rPr>
        <w:t>万元，其中：一般公共预算拨款</w:t>
      </w:r>
      <w:r>
        <w:rPr>
          <w:rFonts w:hint="eastAsia" w:ascii="方正仿宋简体" w:hAnsi="Times New Roman" w:eastAsia="方正仿宋简体" w:cs="Times New Roman"/>
          <w:sz w:val="32"/>
          <w:szCs w:val="32"/>
          <w:lang w:val="en-US" w:eastAsia="zh-CN"/>
        </w:rPr>
        <w:t>766.74</w:t>
      </w:r>
      <w:r>
        <w:rPr>
          <w:rFonts w:hint="eastAsia" w:ascii="方正仿宋简体" w:hAnsi="Times New Roman" w:eastAsia="方正仿宋简体" w:cs="Times New Roman"/>
          <w:sz w:val="32"/>
          <w:szCs w:val="32"/>
          <w:lang w:eastAsia="zh-CN"/>
        </w:rPr>
        <w:t>万元（非限额补助</w:t>
      </w:r>
      <w:r>
        <w:rPr>
          <w:rFonts w:hint="eastAsia" w:ascii="方正仿宋简体" w:hAnsi="Times New Roman" w:eastAsia="方正仿宋简体" w:cs="Times New Roman"/>
          <w:sz w:val="32"/>
          <w:szCs w:val="32"/>
          <w:lang w:val="en-US" w:eastAsia="zh-CN"/>
        </w:rPr>
        <w:t>766.74</w:t>
      </w:r>
      <w:r>
        <w:rPr>
          <w:rFonts w:hint="eastAsia" w:ascii="方正仿宋简体" w:hAnsi="Times New Roman" w:eastAsia="方正仿宋简体" w:cs="Times New Roman"/>
          <w:sz w:val="32"/>
          <w:szCs w:val="32"/>
          <w:lang w:eastAsia="zh-CN"/>
        </w:rPr>
        <w:t>万元）。</w:t>
      </w:r>
    </w:p>
    <w:p>
      <w:pPr>
        <w:ind w:left="64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2.</w:t>
      </w:r>
      <w:r>
        <w:rPr>
          <w:rFonts w:ascii="方正仿宋简体" w:hAnsi="Times New Roman" w:eastAsia="方正仿宋简体" w:cs="Times New Roman"/>
          <w:b/>
          <w:sz w:val="32"/>
          <w:szCs w:val="32"/>
        </w:rPr>
        <w:t>支出说明</w:t>
      </w:r>
    </w:p>
    <w:p>
      <w:pPr>
        <w:ind w:firstLine="480" w:firstLineChars="15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 部门预算收支总表支出栏、基本支出表、项目支出表按经济分类和支出功能分类科目编制，反映部门预算中支出预算的总体情况。2017年部门支出预算为</w:t>
      </w:r>
      <w:r>
        <w:rPr>
          <w:rFonts w:hint="eastAsia" w:ascii="方正仿宋简体" w:hAnsi="Times New Roman" w:eastAsia="方正仿宋简体" w:cs="Times New Roman"/>
          <w:sz w:val="32"/>
          <w:szCs w:val="32"/>
          <w:lang w:val="en-US" w:eastAsia="zh-CN"/>
        </w:rPr>
        <w:t>766.74</w:t>
      </w:r>
      <w:r>
        <w:rPr>
          <w:rFonts w:hint="eastAsia" w:ascii="方正仿宋简体" w:hAnsi="Times New Roman" w:eastAsia="方正仿宋简体" w:cs="Times New Roman"/>
          <w:sz w:val="32"/>
          <w:szCs w:val="32"/>
        </w:rPr>
        <w:t>万元，其中基本支出</w:t>
      </w:r>
      <w:r>
        <w:rPr>
          <w:rFonts w:hint="eastAsia" w:ascii="方正仿宋简体" w:hAnsi="Times New Roman" w:eastAsia="方正仿宋简体" w:cs="Times New Roman"/>
          <w:sz w:val="32"/>
          <w:szCs w:val="32"/>
          <w:lang w:val="en-US" w:eastAsia="zh-CN"/>
        </w:rPr>
        <w:t>590.04</w:t>
      </w:r>
      <w:r>
        <w:rPr>
          <w:rFonts w:hint="eastAsia" w:ascii="方正仿宋简体" w:hAnsi="Times New Roman" w:eastAsia="方正仿宋简体" w:cs="Times New Roman"/>
          <w:sz w:val="32"/>
          <w:szCs w:val="32"/>
        </w:rPr>
        <w:t>万元，包括人员经费</w:t>
      </w:r>
      <w:r>
        <w:rPr>
          <w:rFonts w:hint="eastAsia" w:ascii="方正仿宋简体" w:hAnsi="Times New Roman" w:eastAsia="方正仿宋简体" w:cs="Times New Roman"/>
          <w:sz w:val="32"/>
          <w:szCs w:val="32"/>
          <w:lang w:val="en-US" w:eastAsia="zh-CN"/>
        </w:rPr>
        <w:t>443.26</w:t>
      </w:r>
      <w:r>
        <w:rPr>
          <w:rFonts w:hint="eastAsia" w:ascii="方正仿宋简体" w:hAnsi="Times New Roman" w:eastAsia="方正仿宋简体" w:cs="Times New Roman"/>
          <w:sz w:val="32"/>
          <w:szCs w:val="32"/>
        </w:rPr>
        <w:t>万元和日常公用经费</w:t>
      </w:r>
      <w:r>
        <w:rPr>
          <w:rFonts w:hint="eastAsia" w:ascii="方正仿宋简体" w:hAnsi="Times New Roman" w:eastAsia="方正仿宋简体" w:cs="Times New Roman"/>
          <w:sz w:val="32"/>
          <w:szCs w:val="32"/>
          <w:lang w:val="en-US" w:eastAsia="zh-CN"/>
        </w:rPr>
        <w:t>146.78</w:t>
      </w:r>
      <w:r>
        <w:rPr>
          <w:rFonts w:hint="eastAsia" w:ascii="方正仿宋简体" w:hAnsi="Times New Roman" w:eastAsia="方正仿宋简体" w:cs="Times New Roman"/>
          <w:sz w:val="32"/>
          <w:szCs w:val="32"/>
        </w:rPr>
        <w:t>万元；项目支出</w:t>
      </w:r>
      <w:r>
        <w:rPr>
          <w:rFonts w:hint="eastAsia" w:ascii="方正仿宋简体" w:hAnsi="Times New Roman" w:eastAsia="方正仿宋简体" w:cs="Times New Roman"/>
          <w:sz w:val="32"/>
          <w:szCs w:val="32"/>
          <w:lang w:val="en-US" w:eastAsia="zh-CN"/>
        </w:rPr>
        <w:t>176.7</w:t>
      </w:r>
      <w:r>
        <w:rPr>
          <w:rFonts w:hint="eastAsia" w:ascii="方正仿宋简体" w:hAnsi="Times New Roman" w:eastAsia="方正仿宋简体" w:cs="Times New Roman"/>
          <w:sz w:val="32"/>
          <w:szCs w:val="32"/>
        </w:rPr>
        <w:t>万元，全部为本级支出。</w:t>
      </w:r>
    </w:p>
    <w:p>
      <w:pPr>
        <w:ind w:left="64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3.</w:t>
      </w:r>
      <w:r>
        <w:rPr>
          <w:rFonts w:ascii="方正仿宋简体" w:hAnsi="Times New Roman" w:eastAsia="方正仿宋简体" w:cs="Times New Roman"/>
          <w:b/>
          <w:sz w:val="32"/>
          <w:szCs w:val="32"/>
        </w:rPr>
        <w:t>比上年增减情况</w:t>
      </w:r>
    </w:p>
    <w:p>
      <w:pPr>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rPr>
        <w:t xml:space="preserve">    2017年部门预算较2016年增长</w:t>
      </w:r>
      <w:r>
        <w:rPr>
          <w:rFonts w:hint="eastAsia" w:ascii="方正仿宋简体" w:hAnsi="Times New Roman" w:eastAsia="方正仿宋简体" w:cs="Times New Roman"/>
          <w:sz w:val="32"/>
          <w:szCs w:val="32"/>
          <w:lang w:val="en-US" w:eastAsia="zh-CN"/>
        </w:rPr>
        <w:t>126.72万元，其中：基本支出增长138.72万元，主要是增加人员经费；项目支出减少12万元。</w:t>
      </w:r>
    </w:p>
    <w:p>
      <w:pPr>
        <w:ind w:firstLine="64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rPr>
          <w:rFonts w:ascii="黑体" w:hAnsi="黑体" w:eastAsia="黑体" w:cs="Times New Roman"/>
          <w:sz w:val="32"/>
          <w:szCs w:val="32"/>
        </w:rPr>
      </w:pPr>
      <w:r>
        <w:rPr>
          <w:rFonts w:hint="eastAsia" w:ascii="方正仿宋简体" w:hAnsi="Times New Roman" w:eastAsia="方正仿宋简体" w:cs="Times New Roman"/>
          <w:sz w:val="32"/>
          <w:szCs w:val="32"/>
        </w:rPr>
        <w:t>机关运行经费共计安排</w:t>
      </w:r>
      <w:r>
        <w:rPr>
          <w:rFonts w:hint="eastAsia" w:ascii="方正仿宋简体" w:hAnsi="Times New Roman" w:eastAsia="方正仿宋简体" w:cs="Times New Roman"/>
          <w:sz w:val="32"/>
          <w:szCs w:val="32"/>
          <w:lang w:val="en-US" w:eastAsia="zh-CN"/>
        </w:rPr>
        <w:t>146.78万元，主要用于保证机关正常运转的办公及印刷费、邮电费、差旅费、会议费、福利费、专用材料及一</w:t>
      </w:r>
      <w:r>
        <w:rPr>
          <w:rFonts w:hint="eastAsia" w:ascii="方正仿宋简体" w:hAnsi="Times New Roman" w:eastAsia="方正仿宋简体" w:cs="Times New Roman"/>
          <w:sz w:val="32"/>
          <w:szCs w:val="32"/>
        </w:rPr>
        <w:t>般设备购置费、办公用房水电费、办公用房取暖费、日常维修费、办公楼物业管理费、公务车运行维护费等支出。</w:t>
      </w:r>
    </w:p>
    <w:p>
      <w:pPr>
        <w:ind w:firstLine="64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rPr>
          <w:rFonts w:ascii="黑体" w:hAnsi="黑体" w:eastAsia="黑体" w:cs="Times New Roman"/>
          <w:sz w:val="32"/>
          <w:szCs w:val="32"/>
        </w:rPr>
      </w:pPr>
      <w:r>
        <w:rPr>
          <w:rFonts w:hint="eastAsia" w:ascii="方正仿宋简体" w:hAnsi="Times New Roman" w:eastAsia="方正仿宋简体" w:cs="Times New Roman"/>
          <w:sz w:val="32"/>
          <w:szCs w:val="32"/>
        </w:rPr>
        <w:t>2017年，财政拨款“三公”经费预算安排</w:t>
      </w:r>
      <w:r>
        <w:rPr>
          <w:rFonts w:hint="eastAsia" w:ascii="方正仿宋简体" w:hAnsi="Times New Roman" w:eastAsia="方正仿宋简体" w:cs="Times New Roman"/>
          <w:sz w:val="32"/>
          <w:szCs w:val="32"/>
          <w:lang w:val="en-US" w:eastAsia="zh-CN"/>
        </w:rPr>
        <w:t>30.1万元，其中：因公出国（境）费0万元；公务用车购置及运维费23.1万元（其中：公务用车运行费23.1万元)；公务接待费7万</w:t>
      </w:r>
      <w:r>
        <w:rPr>
          <w:rFonts w:hint="eastAsia" w:ascii="方正仿宋简体" w:hAnsi="Times New Roman" w:eastAsia="方正仿宋简体" w:cs="Times New Roman"/>
          <w:sz w:val="32"/>
          <w:szCs w:val="32"/>
        </w:rPr>
        <w:t>元。</w:t>
      </w:r>
      <w:r>
        <w:rPr>
          <w:rFonts w:hint="eastAsia" w:ascii="方正仿宋简体" w:hAnsi="Times New Roman" w:eastAsia="方正仿宋简体" w:cs="Times New Roman"/>
          <w:sz w:val="32"/>
          <w:szCs w:val="32"/>
          <w:lang w:eastAsia="zh-CN"/>
        </w:rPr>
        <w:t>比</w:t>
      </w:r>
      <w:r>
        <w:rPr>
          <w:rFonts w:hint="eastAsia" w:ascii="方正仿宋简体" w:hAnsi="Times New Roman" w:eastAsia="方正仿宋简体" w:cs="Times New Roman"/>
          <w:sz w:val="32"/>
          <w:szCs w:val="32"/>
          <w:lang w:val="en-US" w:eastAsia="zh-CN"/>
        </w:rPr>
        <w:t>2016年增加12.2万元，主要原因是公务用车运行维护费增加了13.2万元，主要原因是我院一直缺少执法执勤用车，公车改革后市院划拨我院4台执法执勤用车。</w:t>
      </w:r>
    </w:p>
    <w:p>
      <w:pPr>
        <w:ind w:firstLine="640"/>
        <w:rPr>
          <w:rFonts w:ascii="黑体" w:hAnsi="黑体" w:eastAsia="黑体" w:cs="Times New Roman"/>
          <w:sz w:val="32"/>
          <w:szCs w:val="32"/>
        </w:rPr>
      </w:pPr>
      <w:commentRangeStart w:id="1"/>
      <w:r>
        <w:rPr>
          <w:rFonts w:hint="eastAsia" w:ascii="黑体" w:hAnsi="黑体" w:eastAsia="黑体" w:cs="Times New Roman"/>
          <w:sz w:val="32"/>
          <w:szCs w:val="32"/>
        </w:rPr>
        <w:t>五、绩效预算信息</w:t>
      </w:r>
      <w:commentRangeEnd w:id="1"/>
      <w:r>
        <w:rPr>
          <w:rStyle w:val="10"/>
        </w:rPr>
        <w:commentReference w:id="1"/>
      </w:r>
    </w:p>
    <w:p>
      <w:pPr>
        <w:ind w:firstLine="640" w:firstLineChars="200"/>
        <w:jc w:val="left"/>
        <w:rPr>
          <w:rFonts w:hint="eastAsia" w:ascii="方正仿宋简体" w:hAnsi="Times New Roman" w:eastAsia="方正仿宋简体" w:cs="Times New Roman"/>
          <w:b/>
          <w:sz w:val="32"/>
          <w:szCs w:val="32"/>
          <w:lang w:eastAsia="zh-CN"/>
        </w:rPr>
      </w:pPr>
      <w:bookmarkStart w:id="0" w:name="_Toc471398463"/>
      <w:r>
        <w:rPr>
          <w:rFonts w:hint="eastAsia" w:ascii="方正仿宋简体" w:hAnsi="Times New Roman" w:eastAsia="方正仿宋简体" w:cs="Times New Roman"/>
          <w:b/>
          <w:sz w:val="32"/>
          <w:szCs w:val="32"/>
          <w:lang w:eastAsia="zh-CN"/>
        </w:rPr>
        <w:t>总体绩效目标</w:t>
      </w:r>
    </w:p>
    <w:p>
      <w:pPr>
        <w:ind w:firstLine="640" w:firstLineChars="200"/>
        <w:jc w:val="left"/>
        <w:rPr>
          <w:rFonts w:hint="eastAsia" w:ascii="方正仿宋简体" w:hAnsi="Times New Roman" w:eastAsia="方正仿宋简体" w:cs="Times New Roman"/>
          <w:b w:val="0"/>
          <w:bCs/>
          <w:sz w:val="32"/>
          <w:szCs w:val="32"/>
          <w:lang w:eastAsia="zh-CN"/>
        </w:rPr>
      </w:pPr>
      <w:r>
        <w:rPr>
          <w:rFonts w:hint="eastAsia" w:ascii="方正仿宋简体" w:hAnsi="Times New Roman" w:eastAsia="方正仿宋简体" w:cs="Times New Roman"/>
          <w:b w:val="0"/>
          <w:bCs/>
          <w:sz w:val="32"/>
          <w:szCs w:val="32"/>
          <w:lang w:eastAsia="zh-CN"/>
        </w:rPr>
        <w:t>全面贯彻党的十八大和十八届三中、四中、五中、六中全会精神，深入贯彻习近平总书记系列重要讲话精神特别是对河北工作和政法工作、检察工作的重要指示精神，认真落实中央政法工作会议、全国检察长会议和省第九次党代会、全省政法工作会议精神，聚焦为党的十九大胜利召开营造稳定的社会环境和良好的法治环境这条主线，坚持稳中求进工作基调，继续深化“五检”总体工作布局，不断创新理念思路、体制机制、方法手段，坚持以司法办案为中心，大力加强检察监督，深入推进司法改革，不断提升司法公信，充分发挥检察职能作用，为加快建设经济强省、美丽河北提供有力司法保障。</w:t>
      </w:r>
    </w:p>
    <w:p>
      <w:pPr>
        <w:ind w:firstLine="640" w:firstLineChars="200"/>
        <w:jc w:val="left"/>
        <w:rPr>
          <w:rFonts w:hint="eastAsia" w:ascii="方正仿宋简体" w:hAnsi="Times New Roman" w:eastAsia="方正仿宋简体" w:cs="Times New Roman"/>
          <w:b w:val="0"/>
          <w:bCs/>
          <w:sz w:val="32"/>
          <w:szCs w:val="32"/>
          <w:lang w:eastAsia="zh-CN"/>
        </w:rPr>
      </w:pPr>
    </w:p>
    <w:p>
      <w:pPr>
        <w:ind w:firstLine="640" w:firstLineChars="200"/>
        <w:jc w:val="left"/>
        <w:rPr>
          <w:rFonts w:hint="eastAsia" w:ascii="方正仿宋简体" w:hAnsi="Times New Roman" w:eastAsia="方正仿宋简体" w:cs="Times New Roman"/>
          <w:b w:val="0"/>
          <w:bCs/>
          <w:sz w:val="32"/>
          <w:szCs w:val="32"/>
          <w:lang w:eastAsia="zh-CN"/>
        </w:rPr>
      </w:pPr>
    </w:p>
    <w:p>
      <w:pPr>
        <w:ind w:firstLine="640" w:firstLineChars="200"/>
        <w:jc w:val="left"/>
        <w:rPr>
          <w:rFonts w:hint="eastAsia" w:ascii="方正仿宋简体" w:hAnsi="Times New Roman" w:eastAsia="方正仿宋简体" w:cs="Times New Roman"/>
          <w:b/>
          <w:bCs w:val="0"/>
          <w:sz w:val="32"/>
          <w:szCs w:val="32"/>
          <w:lang w:val="en-US" w:eastAsia="zh-CN"/>
        </w:rPr>
      </w:pPr>
      <w:r>
        <w:rPr>
          <w:rFonts w:hint="eastAsia" w:ascii="方正仿宋简体" w:hAnsi="Times New Roman" w:eastAsia="方正仿宋简体" w:cs="Times New Roman"/>
          <w:b/>
          <w:bCs w:val="0"/>
          <w:sz w:val="32"/>
          <w:szCs w:val="32"/>
          <w:lang w:val="en-US" w:eastAsia="zh-CN"/>
        </w:rPr>
        <w:t>部门职责-工作活动绩效目标</w:t>
      </w:r>
      <w:bookmarkStart w:id="1" w:name="_GoBack"/>
      <w:bookmarkEnd w:id="1"/>
    </w:p>
    <w:tbl>
      <w:tblPr>
        <w:tblStyle w:val="11"/>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73"/>
        <w:gridCol w:w="549"/>
        <w:gridCol w:w="439"/>
        <w:gridCol w:w="603"/>
        <w:gridCol w:w="1339"/>
        <w:gridCol w:w="2447"/>
        <w:gridCol w:w="526"/>
        <w:gridCol w:w="888"/>
        <w:gridCol w:w="1503"/>
        <w:gridCol w:w="1339"/>
        <w:gridCol w:w="1327"/>
        <w:gridCol w:w="647"/>
        <w:gridCol w:w="615"/>
        <w:gridCol w:w="625"/>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37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部门编码</w:t>
            </w:r>
          </w:p>
        </w:tc>
        <w:tc>
          <w:tcPr>
            <w:tcW w:w="54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部门名称</w:t>
            </w:r>
          </w:p>
        </w:tc>
        <w:tc>
          <w:tcPr>
            <w:tcW w:w="43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部门职责编码</w:t>
            </w:r>
          </w:p>
        </w:tc>
        <w:tc>
          <w:tcPr>
            <w:tcW w:w="60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部门职责名称</w:t>
            </w:r>
          </w:p>
        </w:tc>
        <w:tc>
          <w:tcPr>
            <w:tcW w:w="133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部门职责要点描述</w:t>
            </w:r>
          </w:p>
        </w:tc>
        <w:tc>
          <w:tcPr>
            <w:tcW w:w="244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部门职责绩效目标</w:t>
            </w:r>
          </w:p>
        </w:tc>
        <w:tc>
          <w:tcPr>
            <w:tcW w:w="52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工作活动编码</w:t>
            </w: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工作活动名称</w:t>
            </w:r>
          </w:p>
        </w:tc>
        <w:tc>
          <w:tcPr>
            <w:tcW w:w="150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工作活动要点描述</w:t>
            </w:r>
          </w:p>
        </w:tc>
        <w:tc>
          <w:tcPr>
            <w:tcW w:w="133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工作活动绩效目标</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工作活动绩效指标</w:t>
            </w:r>
          </w:p>
        </w:tc>
        <w:tc>
          <w:tcPr>
            <w:tcW w:w="2655"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20" w:hRule="atLeast"/>
        </w:trPr>
        <w:tc>
          <w:tcPr>
            <w:tcW w:w="373" w:type="dxa"/>
            <w:vMerge w:val="continue"/>
            <w:tcBorders>
              <w:top w:val="single" w:color="000000" w:sz="4" w:space="0"/>
              <w:left w:val="single" w:color="000000" w:sz="4" w:space="0"/>
              <w:right w:val="single" w:color="000000" w:sz="4" w:space="0"/>
            </w:tcBorders>
            <w:vAlign w:val="center"/>
          </w:tcPr>
          <w:p>
            <w:pPr>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439"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2447"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26"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优</w:t>
            </w:r>
          </w:p>
        </w:tc>
        <w:tc>
          <w:tcPr>
            <w:tcW w:w="6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良</w:t>
            </w:r>
          </w:p>
        </w:tc>
        <w:tc>
          <w:tcPr>
            <w:tcW w:w="6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中</w:t>
            </w:r>
          </w:p>
        </w:tc>
        <w:tc>
          <w:tcPr>
            <w:tcW w:w="7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980"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151</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秦皇岛北戴河新区人民检察院</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04</w:t>
            </w:r>
          </w:p>
        </w:tc>
        <w:tc>
          <w:tcPr>
            <w:tcW w:w="603" w:type="dxa"/>
            <w:vMerge w:val="restart"/>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反贪污贿赂局（反渎职侵权局）</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负责对辖区内职务犯罪案件的初查、立案侦查和移送起诉；负责职务犯罪预防工作；负责对刑罚执行活动的监督；执行传唤、拘传和协助执行其它强制措施，参与搜查、提押、看管犯罪嫌疑人、被告人、送达法律文书；负责本院接待群众来访场所的秩序和安全，参与处置突发事件。</w:t>
            </w:r>
          </w:p>
        </w:tc>
        <w:tc>
          <w:tcPr>
            <w:tcW w:w="2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有效预防和依法严惩职务犯罪；积极开展打击职务犯罪活动；积极送达法律文书；认真做好群众来访场所的秩序和安全，参与处置突发事件</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查办职务犯罪</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both"/>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参与办理重大职务犯罪案件的侦查及个案协查工作；推进职务犯罪预防侦查工作信息化和装备现代化建设。</w:t>
            </w:r>
          </w:p>
        </w:tc>
        <w:tc>
          <w:tcPr>
            <w:tcW w:w="133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完成指挥或办理职务犯罪案件工作，提高案件起诉率、判决率；完成追逃、追赃任务，最大限度挽回经济损失，促进国家工作人员依法行使职权。</w:t>
            </w:r>
          </w:p>
        </w:tc>
        <w:tc>
          <w:tcPr>
            <w:tcW w:w="132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有罪判决率</w:t>
            </w:r>
          </w:p>
        </w:tc>
        <w:tc>
          <w:tcPr>
            <w:tcW w:w="64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立案查办职务犯罪案件有罪判决率达到70%以上</w:t>
            </w:r>
          </w:p>
        </w:tc>
        <w:tc>
          <w:tcPr>
            <w:tcW w:w="6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shd w:val="clear" w:color="auto" w:fill="FFFFFF"/>
                <w:lang w:eastAsia="zh-CN"/>
              </w:rPr>
              <w:t>立案查办职务犯罪案件有罪判决率达到</w:t>
            </w:r>
            <w:r>
              <w:rPr>
                <w:rFonts w:hint="eastAsia" w:ascii="宋体" w:hAnsi="宋体"/>
                <w:b w:val="0"/>
                <w:i w:val="0"/>
                <w:color w:val="000000"/>
                <w:sz w:val="18"/>
                <w:u w:val="none"/>
                <w:shd w:val="clear" w:color="auto" w:fill="FFFFFF"/>
                <w:lang w:val="en-US" w:eastAsia="zh-CN"/>
              </w:rPr>
              <w:t>60%</w:t>
            </w:r>
            <w:r>
              <w:rPr>
                <w:rFonts w:hint="default" w:ascii="宋体" w:hAnsi="宋体" w:eastAsia="宋体"/>
                <w:b w:val="0"/>
                <w:i w:val="0"/>
                <w:color w:val="000000"/>
                <w:sz w:val="18"/>
                <w:u w:val="none"/>
                <w:shd w:val="clear" w:color="auto" w:fill="FFFFFF"/>
                <w:lang w:eastAsia="zh-CN"/>
              </w:rPr>
              <w:t>以上</w:t>
            </w:r>
          </w:p>
        </w:tc>
        <w:tc>
          <w:tcPr>
            <w:tcW w:w="6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shd w:val="clear" w:color="auto" w:fill="FFFFFF"/>
                <w:lang w:eastAsia="zh-CN"/>
              </w:rPr>
              <w:t>立案查办职务犯罪案件有罪判决率达到</w:t>
            </w:r>
            <w:r>
              <w:rPr>
                <w:rFonts w:hint="eastAsia" w:ascii="宋体" w:hAnsi="宋体"/>
                <w:b w:val="0"/>
                <w:i w:val="0"/>
                <w:color w:val="000000"/>
                <w:sz w:val="18"/>
                <w:u w:val="none"/>
                <w:shd w:val="clear" w:color="auto" w:fill="FFFFFF"/>
                <w:lang w:val="en-US" w:eastAsia="zh-CN"/>
              </w:rPr>
              <w:t>50</w:t>
            </w:r>
            <w:r>
              <w:rPr>
                <w:rFonts w:hint="default" w:ascii="宋体" w:hAnsi="宋体" w:eastAsia="宋体"/>
                <w:b w:val="0"/>
                <w:i w:val="0"/>
                <w:color w:val="000000"/>
                <w:sz w:val="18"/>
                <w:u w:val="none"/>
                <w:shd w:val="clear" w:color="auto" w:fill="FFFFFF"/>
                <w:lang w:eastAsia="zh-CN"/>
              </w:rPr>
              <w:t>%以上</w:t>
            </w:r>
          </w:p>
        </w:tc>
        <w:tc>
          <w:tcPr>
            <w:tcW w:w="7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shd w:val="clear" w:color="auto" w:fill="FFFFFF"/>
                <w:lang w:eastAsia="zh-CN"/>
              </w:rPr>
              <w:t>立案查办职务犯罪案件有罪判决率达到</w:t>
            </w:r>
            <w:r>
              <w:rPr>
                <w:rFonts w:hint="eastAsia" w:ascii="宋体" w:hAnsi="宋体"/>
                <w:b w:val="0"/>
                <w:i w:val="0"/>
                <w:color w:val="000000"/>
                <w:sz w:val="18"/>
                <w:u w:val="none"/>
                <w:shd w:val="clear" w:color="auto" w:fill="FFFFFF"/>
                <w:lang w:val="en-US" w:eastAsia="zh-CN"/>
              </w:rPr>
              <w:t>50</w:t>
            </w:r>
            <w:r>
              <w:rPr>
                <w:rFonts w:hint="default" w:ascii="宋体" w:hAnsi="宋体" w:eastAsia="宋体"/>
                <w:b w:val="0"/>
                <w:i w:val="0"/>
                <w:color w:val="000000"/>
                <w:sz w:val="18"/>
                <w:u w:val="none"/>
                <w:shd w:val="clear" w:color="auto" w:fill="FFFFFF"/>
                <w:lang w:eastAsia="zh-CN"/>
              </w:rPr>
              <w:t>%以</w:t>
            </w:r>
            <w:r>
              <w:rPr>
                <w:rFonts w:hint="eastAsia" w:ascii="宋体" w:hAnsi="宋体"/>
                <w:b w:val="0"/>
                <w:i w:val="0"/>
                <w:color w:val="000000"/>
                <w:sz w:val="18"/>
                <w:u w:val="none"/>
                <w:shd w:val="clear" w:color="auto" w:fill="FFFFFF"/>
                <w:lang w:eastAsia="zh-CN"/>
              </w:rPr>
              <w:t>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62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textAlignment w:val="auto"/>
              <w:rPr>
                <w:rFonts w:hint="default" w:ascii="宋体" w:hAnsi="宋体"/>
                <w:sz w:val="24"/>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603" w:type="dxa"/>
            <w:vMerge w:val="continue"/>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2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预防职务犯罪</w:t>
            </w:r>
          </w:p>
        </w:tc>
        <w:tc>
          <w:tcPr>
            <w:tcW w:w="150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采取多种方式，预防可能发生的职务犯罪。</w:t>
            </w:r>
          </w:p>
        </w:tc>
        <w:tc>
          <w:tcPr>
            <w:tcW w:w="133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以个案预防、系统预防、专项预防、预防调查等多种形式努力从源头上遏制和减少职务犯罪。</w:t>
            </w:r>
          </w:p>
        </w:tc>
        <w:tc>
          <w:tcPr>
            <w:tcW w:w="132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举办职务犯罪预防警示教育次数</w:t>
            </w:r>
          </w:p>
        </w:tc>
        <w:tc>
          <w:tcPr>
            <w:tcW w:w="64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开展专项预防活动达到5次</w:t>
            </w:r>
          </w:p>
        </w:tc>
        <w:tc>
          <w:tcPr>
            <w:tcW w:w="6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18"/>
                <w:u w:val="none"/>
                <w:shd w:val="clear" w:color="auto" w:fill="FFFFFF"/>
                <w:lang w:eastAsia="zh-CN"/>
              </w:rPr>
              <w:t>开展专项预防活动达到</w:t>
            </w:r>
            <w:r>
              <w:rPr>
                <w:rFonts w:hint="eastAsia" w:ascii="宋体" w:hAnsi="宋体"/>
                <w:b w:val="0"/>
                <w:i w:val="0"/>
                <w:color w:val="000000"/>
                <w:sz w:val="18"/>
                <w:u w:val="none"/>
                <w:shd w:val="clear" w:color="auto" w:fill="FFFFFF"/>
                <w:lang w:val="en-US" w:eastAsia="zh-CN"/>
              </w:rPr>
              <w:t>3</w:t>
            </w:r>
            <w:r>
              <w:rPr>
                <w:rFonts w:hint="default" w:ascii="宋体" w:hAnsi="宋体" w:eastAsia="宋体"/>
                <w:b w:val="0"/>
                <w:i w:val="0"/>
                <w:color w:val="000000"/>
                <w:sz w:val="18"/>
                <w:u w:val="none"/>
                <w:shd w:val="clear" w:color="auto" w:fill="FFFFFF"/>
                <w:lang w:eastAsia="zh-CN"/>
              </w:rPr>
              <w:t>次</w:t>
            </w:r>
          </w:p>
        </w:tc>
        <w:tc>
          <w:tcPr>
            <w:tcW w:w="6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18"/>
                <w:u w:val="none"/>
                <w:shd w:val="clear" w:color="auto" w:fill="FFFFFF"/>
                <w:lang w:eastAsia="zh-CN"/>
              </w:rPr>
              <w:t>开展专项预防活动达到</w:t>
            </w:r>
            <w:r>
              <w:rPr>
                <w:rFonts w:hint="eastAsia" w:ascii="宋体" w:hAnsi="宋体"/>
                <w:b w:val="0"/>
                <w:i w:val="0"/>
                <w:color w:val="000000"/>
                <w:sz w:val="18"/>
                <w:u w:val="none"/>
                <w:shd w:val="clear" w:color="auto" w:fill="FFFFFF"/>
                <w:lang w:val="en-US" w:eastAsia="zh-CN"/>
              </w:rPr>
              <w:t>2</w:t>
            </w:r>
            <w:r>
              <w:rPr>
                <w:rFonts w:hint="default" w:ascii="宋体" w:hAnsi="宋体" w:eastAsia="宋体"/>
                <w:b w:val="0"/>
                <w:i w:val="0"/>
                <w:color w:val="000000"/>
                <w:sz w:val="18"/>
                <w:u w:val="none"/>
                <w:shd w:val="clear" w:color="auto" w:fill="FFFFFF"/>
                <w:lang w:eastAsia="zh-CN"/>
              </w:rPr>
              <w:t>次</w:t>
            </w:r>
          </w:p>
        </w:tc>
        <w:tc>
          <w:tcPr>
            <w:tcW w:w="7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18"/>
                <w:u w:val="none"/>
                <w:shd w:val="clear" w:color="auto" w:fill="FFFFFF"/>
                <w:lang w:eastAsia="zh-CN"/>
              </w:rPr>
              <w:t>开展专项预防活动达到</w:t>
            </w:r>
            <w:r>
              <w:rPr>
                <w:rFonts w:hint="eastAsia" w:ascii="宋体" w:hAnsi="宋体"/>
                <w:b w:val="0"/>
                <w:i w:val="0"/>
                <w:color w:val="000000"/>
                <w:sz w:val="18"/>
                <w:u w:val="none"/>
                <w:shd w:val="clear" w:color="auto" w:fill="FFFFFF"/>
                <w:lang w:val="en-US" w:eastAsia="zh-CN"/>
              </w:rPr>
              <w:t>0</w:t>
            </w:r>
            <w:r>
              <w:rPr>
                <w:rFonts w:hint="default" w:ascii="宋体" w:hAnsi="宋体" w:eastAsia="宋体"/>
                <w:b w:val="0"/>
                <w:i w:val="0"/>
                <w:color w:val="000000"/>
                <w:sz w:val="18"/>
                <w:u w:val="none"/>
                <w:shd w:val="clear" w:color="auto" w:fill="FFFFFF"/>
                <w:lang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92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textAlignment w:val="auto"/>
              <w:rPr>
                <w:rFonts w:hint="default" w:ascii="宋体" w:hAnsi="宋体"/>
                <w:sz w:val="24"/>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sz w:val="24"/>
              </w:rPr>
            </w:pPr>
          </w:p>
        </w:tc>
        <w:tc>
          <w:tcPr>
            <w:tcW w:w="603" w:type="dxa"/>
            <w:vMerge w:val="continue"/>
            <w:tcBorders>
              <w:top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sz w:val="24"/>
              </w:rPr>
            </w:pPr>
          </w:p>
        </w:tc>
        <w:tc>
          <w:tcPr>
            <w:tcW w:w="2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sz w:val="24"/>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sz w:val="24"/>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司法辅助</w:t>
            </w:r>
          </w:p>
        </w:tc>
        <w:tc>
          <w:tcPr>
            <w:tcW w:w="150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保障本机关查办职务犯罪案件安全无事故；检察机关司法警察的管理和警衔晋升工作；传唤、拘传和协助执行其它强制措施，参与搜查、提押、看管犯罪嫌疑人、被告人、送达法律文书。</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both"/>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加强各项检察辅助职能，为检察业务提供有力保障。</w:t>
            </w:r>
          </w:p>
        </w:tc>
        <w:tc>
          <w:tcPr>
            <w:tcW w:w="132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参与自侦案件次数</w:t>
            </w:r>
          </w:p>
        </w:tc>
        <w:tc>
          <w:tcPr>
            <w:tcW w:w="64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参与自侦案件次数达到3次以上</w:t>
            </w:r>
          </w:p>
        </w:tc>
        <w:tc>
          <w:tcPr>
            <w:tcW w:w="6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参与自侦案件次数达到2次以上</w:t>
            </w:r>
          </w:p>
        </w:tc>
        <w:tc>
          <w:tcPr>
            <w:tcW w:w="6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参与自侦案件次数达到</w:t>
            </w:r>
            <w:r>
              <w:rPr>
                <w:rFonts w:hint="eastAsia" w:ascii="宋体" w:hAnsi="宋体"/>
                <w:b w:val="0"/>
                <w:i w:val="0"/>
                <w:color w:val="000000"/>
                <w:sz w:val="18"/>
                <w:u w:val="none"/>
                <w:lang w:val="en-US" w:eastAsia="zh-CN"/>
              </w:rPr>
              <w:t>1</w:t>
            </w:r>
            <w:r>
              <w:rPr>
                <w:rFonts w:hint="default" w:ascii="宋体" w:hAnsi="宋体" w:eastAsia="宋体"/>
                <w:b w:val="0"/>
                <w:i w:val="0"/>
                <w:color w:val="000000"/>
                <w:sz w:val="18"/>
                <w:u w:val="none"/>
                <w:lang w:eastAsia="zh-CN"/>
              </w:rPr>
              <w:t>次以上</w:t>
            </w:r>
          </w:p>
        </w:tc>
        <w:tc>
          <w:tcPr>
            <w:tcW w:w="7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参与自侦案件次数达到</w:t>
            </w:r>
            <w:r>
              <w:rPr>
                <w:rFonts w:hint="eastAsia" w:ascii="宋体" w:hAnsi="宋体"/>
                <w:b w:val="0"/>
                <w:i w:val="0"/>
                <w:color w:val="000000"/>
                <w:sz w:val="18"/>
                <w:u w:val="none"/>
                <w:lang w:val="en-US" w:eastAsia="zh-CN"/>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6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textAlignment w:val="auto"/>
              <w:rPr>
                <w:rFonts w:hint="default" w:ascii="宋体" w:hAnsi="宋体"/>
                <w:sz w:val="24"/>
              </w:rPr>
            </w:pP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06</w:t>
            </w:r>
          </w:p>
        </w:tc>
        <w:tc>
          <w:tcPr>
            <w:tcW w:w="603" w:type="dxa"/>
            <w:vMerge w:val="restart"/>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综合办公室 （纪检监察室、政治处）</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负责文件起草、秘书事务、机要通信、会议组织、工作协调、督办催办、文件处理、档案管理、保密和外事等工作；负责本院计财装备、检察技术、法律政策研究工作；负责干部队伍管理、机关党的建设、新闻宣传、教育培训、纪检检察等工作。</w:t>
            </w:r>
          </w:p>
        </w:tc>
        <w:tc>
          <w:tcPr>
            <w:tcW w:w="2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发挥保障、服务职能；积极推进各项综合工作；确保各项检察工作顺利开展。</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01</w:t>
            </w:r>
          </w:p>
        </w:tc>
        <w:tc>
          <w:tcPr>
            <w:tcW w:w="888"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综合业务管理</w:t>
            </w:r>
          </w:p>
        </w:tc>
        <w:tc>
          <w:tcPr>
            <w:tcW w:w="1503"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确定本机关检察阶段性的工作重点和措施，部署检察工作任务；进行法律政策研究工作；统筹进行网络信息化建设；开展检察宣传工作、推进检务公开。</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both"/>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围绕重点工作推进办案网络信息化建设及检务公开工作，畅通检务公开渠道。</w:t>
            </w:r>
          </w:p>
        </w:tc>
        <w:tc>
          <w:tcPr>
            <w:tcW w:w="1327"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积极完成上级院部署的各项工作，大力推进网络化建设和检务公开工作。</w:t>
            </w:r>
          </w:p>
        </w:tc>
        <w:tc>
          <w:tcPr>
            <w:tcW w:w="647"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达到上级院的规定要求</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基本达到上级院的规定要求</w:t>
            </w: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一般达到上级院的规定要求</w:t>
            </w:r>
          </w:p>
        </w:tc>
        <w:tc>
          <w:tcPr>
            <w:tcW w:w="76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eastAsia="zh-CN"/>
              </w:rPr>
              <w:t>未能</w:t>
            </w:r>
            <w:r>
              <w:rPr>
                <w:rFonts w:hint="default" w:ascii="宋体" w:hAnsi="宋体" w:eastAsia="宋体"/>
                <w:b w:val="0"/>
                <w:i w:val="0"/>
                <w:color w:val="000000"/>
                <w:sz w:val="18"/>
                <w:u w:val="none"/>
                <w:lang w:eastAsia="zh-CN"/>
              </w:rPr>
              <w:t>达到上级院的规定要求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6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textAlignment w:val="auto"/>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603" w:type="dxa"/>
            <w:vMerge w:val="continue"/>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2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88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default" w:ascii="宋体" w:hAnsi="宋体"/>
                <w:sz w:val="24"/>
              </w:rPr>
            </w:pPr>
          </w:p>
        </w:tc>
        <w:tc>
          <w:tcPr>
            <w:tcW w:w="1503"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132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default" w:ascii="宋体" w:hAnsi="宋体"/>
                <w:sz w:val="24"/>
              </w:rPr>
            </w:pPr>
          </w:p>
        </w:tc>
        <w:tc>
          <w:tcPr>
            <w:tcW w:w="64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default" w:ascii="宋体" w:hAnsi="宋体"/>
                <w:sz w:val="24"/>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6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textAlignment w:val="auto"/>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603" w:type="dxa"/>
            <w:vMerge w:val="continue"/>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2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88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default" w:ascii="宋体" w:hAnsi="宋体"/>
                <w:sz w:val="24"/>
              </w:rPr>
            </w:pPr>
          </w:p>
        </w:tc>
        <w:tc>
          <w:tcPr>
            <w:tcW w:w="1503"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132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default" w:ascii="宋体" w:hAnsi="宋体"/>
                <w:sz w:val="24"/>
              </w:rPr>
            </w:pPr>
          </w:p>
        </w:tc>
        <w:tc>
          <w:tcPr>
            <w:tcW w:w="64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default" w:ascii="宋体" w:hAnsi="宋体"/>
                <w:sz w:val="24"/>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6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textAlignment w:val="auto"/>
              <w:rPr>
                <w:rFonts w:hint="default" w:ascii="宋体" w:hAnsi="宋体"/>
                <w:sz w:val="24"/>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603" w:type="dxa"/>
            <w:vMerge w:val="continue"/>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2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01</w:t>
            </w:r>
          </w:p>
        </w:tc>
        <w:tc>
          <w:tcPr>
            <w:tcW w:w="888"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综合事务管理</w:t>
            </w:r>
          </w:p>
        </w:tc>
        <w:tc>
          <w:tcPr>
            <w:tcW w:w="1503"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组织指导本机关检察人员的教育培训工作，进行检察装备建设及维护；配备制式检察服装及法警服装；负责车辆管理和维护；进行基础设施建设和维护。加强队伍建设，认真做好人员职务的任免；负责本院计财装备；按照上级要求推进本院办公办案用房建设；推进两微一端一站建设</w:t>
            </w:r>
          </w:p>
        </w:tc>
        <w:tc>
          <w:tcPr>
            <w:tcW w:w="133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为检察工作顺利开展提供检务保障。</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各项检务保障工作完成率</w:t>
            </w:r>
          </w:p>
        </w:tc>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能够为开展各项检察工作提供有力支撑。</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能够为开展各项检察工作提供</w:t>
            </w:r>
            <w:r>
              <w:rPr>
                <w:rFonts w:hint="eastAsia" w:ascii="宋体" w:hAnsi="宋体"/>
                <w:b w:val="0"/>
                <w:i w:val="0"/>
                <w:color w:val="000000"/>
                <w:sz w:val="18"/>
                <w:u w:val="none"/>
                <w:lang w:eastAsia="zh-CN"/>
              </w:rPr>
              <w:t>较</w:t>
            </w:r>
            <w:r>
              <w:rPr>
                <w:rFonts w:hint="default" w:ascii="宋体" w:hAnsi="宋体" w:eastAsia="宋体"/>
                <w:b w:val="0"/>
                <w:i w:val="0"/>
                <w:color w:val="000000"/>
                <w:sz w:val="18"/>
                <w:u w:val="none"/>
                <w:lang w:eastAsia="zh-CN"/>
              </w:rPr>
              <w:t>有力支撑。</w:t>
            </w: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能够为开展各项检察工作提供</w:t>
            </w:r>
            <w:r>
              <w:rPr>
                <w:rFonts w:hint="eastAsia" w:ascii="宋体" w:hAnsi="宋体"/>
                <w:b w:val="0"/>
                <w:i w:val="0"/>
                <w:color w:val="000000"/>
                <w:sz w:val="18"/>
                <w:u w:val="none"/>
                <w:lang w:eastAsia="zh-CN"/>
              </w:rPr>
              <w:t>一般</w:t>
            </w:r>
            <w:r>
              <w:rPr>
                <w:rFonts w:hint="default" w:ascii="宋体" w:hAnsi="宋体" w:eastAsia="宋体"/>
                <w:b w:val="0"/>
                <w:i w:val="0"/>
                <w:color w:val="000000"/>
                <w:sz w:val="18"/>
                <w:u w:val="none"/>
                <w:lang w:eastAsia="zh-CN"/>
              </w:rPr>
              <w:t>有力支撑。</w:t>
            </w:r>
          </w:p>
        </w:tc>
        <w:tc>
          <w:tcPr>
            <w:tcW w:w="76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eastAsia="zh-CN"/>
              </w:rPr>
              <w:t>未</w:t>
            </w:r>
            <w:r>
              <w:rPr>
                <w:rFonts w:hint="default" w:ascii="宋体" w:hAnsi="宋体" w:eastAsia="宋体"/>
                <w:b w:val="0"/>
                <w:i w:val="0"/>
                <w:color w:val="000000"/>
                <w:sz w:val="18"/>
                <w:u w:val="none"/>
                <w:lang w:eastAsia="zh-CN"/>
              </w:rPr>
              <w:t>能够为开展各项检察工作提供有力支撑。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6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textAlignment w:val="auto"/>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603" w:type="dxa"/>
            <w:vMerge w:val="continue"/>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2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88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default" w:ascii="宋体" w:hAnsi="宋体"/>
                <w:sz w:val="24"/>
              </w:rPr>
            </w:pPr>
          </w:p>
        </w:tc>
        <w:tc>
          <w:tcPr>
            <w:tcW w:w="1503"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56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textAlignment w:val="auto"/>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603" w:type="dxa"/>
            <w:vMerge w:val="continue"/>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2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88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default" w:ascii="宋体" w:hAnsi="宋体"/>
                <w:sz w:val="24"/>
              </w:rPr>
            </w:pPr>
          </w:p>
        </w:tc>
        <w:tc>
          <w:tcPr>
            <w:tcW w:w="1503"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60" w:hRule="atLeast"/>
        </w:trPr>
        <w:tc>
          <w:tcPr>
            <w:tcW w:w="37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43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05</w:t>
            </w:r>
          </w:p>
        </w:tc>
        <w:tc>
          <w:tcPr>
            <w:tcW w:w="603" w:type="dxa"/>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案件管理办公室</w:t>
            </w:r>
          </w:p>
        </w:tc>
        <w:tc>
          <w:tcPr>
            <w:tcW w:w="133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负责对受理案件的登记和归口分流；负责案件统计报表工作；对所办案件进行事前、事中、事后全程动态监督；负责举报、控告申诉和刑事赔偿工作；负责人民监督员办公室工作。</w:t>
            </w:r>
          </w:p>
        </w:tc>
        <w:tc>
          <w:tcPr>
            <w:tcW w:w="244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对本机关受理案件进行全程动态监控，规范司法行为。</w:t>
            </w:r>
          </w:p>
        </w:tc>
        <w:tc>
          <w:tcPr>
            <w:tcW w:w="52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01</w:t>
            </w: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案件管理</w:t>
            </w:r>
          </w:p>
        </w:tc>
        <w:tc>
          <w:tcPr>
            <w:tcW w:w="150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进行案件质量保证体系建设；开展涉农检察工作；加强人民监督员和人大代表监督；统筹进行网络信息化建设。</w:t>
            </w:r>
          </w:p>
        </w:tc>
        <w:tc>
          <w:tcPr>
            <w:tcW w:w="133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规范司法行为。</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受理案件全部由案管进行流转</w:t>
            </w:r>
          </w:p>
        </w:tc>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流转达到100%</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流转达到60%</w:t>
            </w: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流转达到</w:t>
            </w:r>
            <w:r>
              <w:rPr>
                <w:rFonts w:hint="eastAsia" w:ascii="宋体" w:hAnsi="宋体"/>
                <w:b w:val="0"/>
                <w:i w:val="0"/>
                <w:color w:val="000000"/>
                <w:sz w:val="22"/>
                <w:u w:val="none"/>
                <w:lang w:val="en-US" w:eastAsia="zh-CN"/>
              </w:rPr>
              <w:t>5</w:t>
            </w:r>
            <w:r>
              <w:rPr>
                <w:rFonts w:hint="default" w:ascii="宋体" w:hAnsi="宋体" w:eastAsia="宋体"/>
                <w:b w:val="0"/>
                <w:i w:val="0"/>
                <w:color w:val="000000"/>
                <w:sz w:val="22"/>
                <w:u w:val="none"/>
                <w:lang w:eastAsia="zh-CN"/>
              </w:rPr>
              <w:t>0%</w:t>
            </w:r>
          </w:p>
        </w:tc>
        <w:tc>
          <w:tcPr>
            <w:tcW w:w="76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流转达到</w:t>
            </w:r>
            <w:r>
              <w:rPr>
                <w:rFonts w:hint="eastAsia" w:ascii="宋体" w:hAnsi="宋体"/>
                <w:b w:val="0"/>
                <w:i w:val="0"/>
                <w:color w:val="000000"/>
                <w:sz w:val="22"/>
                <w:u w:val="none"/>
                <w:lang w:val="en-US" w:eastAsia="zh-CN"/>
              </w:rPr>
              <w:t>50%以下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60" w:hRule="atLeast"/>
        </w:trPr>
        <w:tc>
          <w:tcPr>
            <w:tcW w:w="37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43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03" w:type="dxa"/>
            <w:vMerge w:val="continue"/>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244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52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150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6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textAlignment w:val="auto"/>
              <w:rPr>
                <w:rFonts w:hint="default" w:ascii="宋体" w:hAnsi="宋体"/>
                <w:sz w:val="24"/>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603" w:type="dxa"/>
            <w:vMerge w:val="continue"/>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2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sz w:val="24"/>
              </w:rPr>
            </w:pPr>
          </w:p>
        </w:tc>
        <w:tc>
          <w:tcPr>
            <w:tcW w:w="888" w:type="dxa"/>
            <w:vMerge w:val="restart"/>
            <w:tcBorders>
              <w:top w:val="single" w:color="000000" w:sz="4" w:space="0"/>
              <w:left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信访接待</w:t>
            </w:r>
          </w:p>
        </w:tc>
        <w:tc>
          <w:tcPr>
            <w:tcW w:w="1503" w:type="dxa"/>
            <w:vMerge w:val="restart"/>
            <w:tcBorders>
              <w:top w:val="single" w:color="000000" w:sz="4" w:space="0"/>
              <w:left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受理辖区内单位和个人的报案、控告、申诉、举报以及犯罪嫌疑人的自首；负责刑事赔偿工作。</w:t>
            </w:r>
          </w:p>
        </w:tc>
        <w:tc>
          <w:tcPr>
            <w:tcW w:w="1339" w:type="dxa"/>
            <w:vMerge w:val="restart"/>
            <w:tcBorders>
              <w:top w:val="single" w:color="000000" w:sz="4" w:space="0"/>
              <w:left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构建依法有序信访秩序，及时依法解决群众诉求，不断提高队伍素质和执法能力，推进信息公开。</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涉检信访案件办结率</w:t>
            </w:r>
          </w:p>
        </w:tc>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已按程序处理信访案件占全年受理信访案件比例</w:t>
            </w:r>
            <w:r>
              <w:rPr>
                <w:rFonts w:hint="eastAsia" w:ascii="宋体" w:hAnsi="宋体"/>
                <w:b w:val="0"/>
                <w:i w:val="0"/>
                <w:color w:val="000000"/>
                <w:sz w:val="18"/>
                <w:u w:val="none"/>
                <w:lang w:eastAsia="zh-CN"/>
              </w:rPr>
              <w:t>为</w:t>
            </w:r>
            <w:r>
              <w:rPr>
                <w:rFonts w:hint="eastAsia" w:ascii="宋体" w:hAnsi="宋体"/>
                <w:b w:val="0"/>
                <w:i w:val="0"/>
                <w:color w:val="000000"/>
                <w:sz w:val="18"/>
                <w:u w:val="none"/>
                <w:lang w:val="en-US" w:eastAsia="zh-CN"/>
              </w:rPr>
              <w:t>70%以上</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已按程序处理信访案件占全年受理信访案件比例为60%以上</w:t>
            </w: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已按程序处理信访案件占全年受理信访案件比例为</w:t>
            </w:r>
            <w:r>
              <w:rPr>
                <w:rFonts w:hint="eastAsia" w:ascii="宋体" w:hAnsi="宋体"/>
                <w:b w:val="0"/>
                <w:i w:val="0"/>
                <w:color w:val="000000"/>
                <w:sz w:val="22"/>
                <w:u w:val="none"/>
                <w:lang w:val="en-US" w:eastAsia="zh-CN"/>
              </w:rPr>
              <w:t>5</w:t>
            </w:r>
            <w:r>
              <w:rPr>
                <w:rFonts w:hint="default" w:ascii="宋体" w:hAnsi="宋体" w:eastAsia="宋体"/>
                <w:b w:val="0"/>
                <w:i w:val="0"/>
                <w:color w:val="000000"/>
                <w:sz w:val="22"/>
                <w:u w:val="none"/>
                <w:lang w:eastAsia="zh-CN"/>
              </w:rPr>
              <w:t>0%以上</w:t>
            </w:r>
          </w:p>
        </w:tc>
        <w:tc>
          <w:tcPr>
            <w:tcW w:w="76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已按程序处理信访案件占全年受理信访案件比例为</w:t>
            </w:r>
            <w:r>
              <w:rPr>
                <w:rFonts w:hint="eastAsia" w:ascii="宋体" w:hAnsi="宋体"/>
                <w:b w:val="0"/>
                <w:i w:val="0"/>
                <w:color w:val="000000"/>
                <w:sz w:val="22"/>
                <w:u w:val="none"/>
                <w:lang w:val="en-US" w:eastAsia="zh-CN"/>
              </w:rPr>
              <w:t>50</w:t>
            </w:r>
            <w:r>
              <w:rPr>
                <w:rFonts w:hint="default" w:ascii="宋体" w:hAnsi="宋体" w:eastAsia="宋体"/>
                <w:b w:val="0"/>
                <w:i w:val="0"/>
                <w:color w:val="000000"/>
                <w:sz w:val="22"/>
                <w:u w:val="none"/>
                <w:lang w:eastAsia="zh-CN"/>
              </w:rPr>
              <w:t>%以</w:t>
            </w:r>
            <w:r>
              <w:rPr>
                <w:rFonts w:hint="eastAsia" w:ascii="宋体" w:hAnsi="宋体"/>
                <w:b w:val="0"/>
                <w:i w:val="0"/>
                <w:color w:val="000000"/>
                <w:sz w:val="22"/>
                <w:u w:val="none"/>
                <w:lang w:eastAsia="zh-CN"/>
              </w:rPr>
              <w:t>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379"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textAlignment w:val="auto"/>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sz w:val="24"/>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sz w:val="24"/>
              </w:rPr>
            </w:pPr>
          </w:p>
        </w:tc>
        <w:tc>
          <w:tcPr>
            <w:tcW w:w="603" w:type="dxa"/>
            <w:vMerge w:val="continue"/>
            <w:tcBorders>
              <w:top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sz w:val="24"/>
              </w:rPr>
            </w:pPr>
          </w:p>
        </w:tc>
        <w:tc>
          <w:tcPr>
            <w:tcW w:w="2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sz w:val="24"/>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sz w:val="24"/>
              </w:rPr>
            </w:pPr>
          </w:p>
        </w:tc>
        <w:tc>
          <w:tcPr>
            <w:tcW w:w="888" w:type="dxa"/>
            <w:vMerge w:val="continue"/>
            <w:tcBorders>
              <w:top w:val="single" w:color="000000" w:sz="4" w:space="0"/>
              <w:left w:val="single" w:color="000000" w:sz="4" w:space="0"/>
              <w:right w:val="single" w:color="000000" w:sz="4" w:space="0"/>
            </w:tcBorders>
            <w:shd w:val="clear" w:color="auto" w:fill="auto"/>
            <w:vAlign w:val="center"/>
          </w:tcPr>
          <w:p>
            <w:pPr>
              <w:autoSpaceDN w:val="0"/>
              <w:jc w:val="left"/>
              <w:textAlignment w:val="center"/>
              <w:rPr>
                <w:rFonts w:hint="default" w:ascii="宋体" w:hAnsi="宋体"/>
                <w:sz w:val="24"/>
              </w:rPr>
            </w:pPr>
          </w:p>
        </w:tc>
        <w:tc>
          <w:tcPr>
            <w:tcW w:w="1503" w:type="dxa"/>
            <w:vMerge w:val="continue"/>
            <w:tcBorders>
              <w:top w:val="single" w:color="000000" w:sz="4" w:space="0"/>
              <w:left w:val="single" w:color="000000" w:sz="4" w:space="0"/>
              <w:right w:val="single" w:color="000000" w:sz="4" w:space="0"/>
            </w:tcBorders>
            <w:shd w:val="solid" w:color="FFFFFF" w:fill="auto"/>
            <w:vAlign w:val="center"/>
          </w:tcPr>
          <w:p>
            <w:pPr>
              <w:autoSpaceDN w:val="0"/>
              <w:jc w:val="left"/>
              <w:textAlignment w:val="center"/>
              <w:rPr>
                <w:rFonts w:hint="default" w:ascii="宋体" w:hAnsi="宋体"/>
                <w:sz w:val="24"/>
              </w:rPr>
            </w:pPr>
          </w:p>
        </w:tc>
        <w:tc>
          <w:tcPr>
            <w:tcW w:w="1339" w:type="dxa"/>
            <w:vMerge w:val="continue"/>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60" w:hRule="atLeast"/>
        </w:trPr>
        <w:tc>
          <w:tcPr>
            <w:tcW w:w="37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43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07</w:t>
            </w:r>
          </w:p>
        </w:tc>
        <w:tc>
          <w:tcPr>
            <w:tcW w:w="603" w:type="dxa"/>
            <w:vMerge w:val="restart"/>
            <w:tcBorders>
              <w:top w:val="single" w:color="000000" w:sz="4" w:space="0"/>
              <w:bottom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刑事检察科</w:t>
            </w:r>
          </w:p>
        </w:tc>
        <w:tc>
          <w:tcPr>
            <w:tcW w:w="133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负责辖区内刑事犯罪案件的审查逮捕、审查起诉、出庭公诉和社会管理工作；依法履行立案、侦查活动、监外执行、审判活动等监督职能；依法对民事、行政诉讼和审判活动进行法律监督。</w:t>
            </w:r>
          </w:p>
        </w:tc>
        <w:tc>
          <w:tcPr>
            <w:tcW w:w="2447" w:type="dxa"/>
            <w:vMerge w:val="restart"/>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保护公民、法人和其他单位的合法权益，促进司法公正，维护社会稳定</w:t>
            </w:r>
          </w:p>
        </w:tc>
        <w:tc>
          <w:tcPr>
            <w:tcW w:w="52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01</w:t>
            </w: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检察监督、公诉和审判监督</w:t>
            </w:r>
          </w:p>
        </w:tc>
        <w:tc>
          <w:tcPr>
            <w:tcW w:w="150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检察监督职能的行使贯穿刑事立案到侦查终结全过程。主要包括审查逮捕、立案监督和侦查活动监督等职能。</w:t>
            </w:r>
          </w:p>
        </w:tc>
        <w:tc>
          <w:tcPr>
            <w:tcW w:w="133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保障人权、维护司法公正，有效提高批捕、批准立案、批延准确率。全面审查案件事实，核实证据，依法提起公诉、出庭提出审查意见，提高公诉案件审结率、出庭意见采纳率。</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批捕准确率和有罪判决率</w:t>
            </w:r>
          </w:p>
        </w:tc>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批捕准确率和有罪判决率达到95%以上</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批捕准确率和有罪判决率达到</w:t>
            </w:r>
            <w:r>
              <w:rPr>
                <w:rFonts w:hint="eastAsia" w:ascii="宋体" w:hAnsi="宋体"/>
                <w:b w:val="0"/>
                <w:i w:val="0"/>
                <w:color w:val="000000"/>
                <w:sz w:val="18"/>
                <w:u w:val="none"/>
                <w:lang w:val="en-US" w:eastAsia="zh-CN"/>
              </w:rPr>
              <w:t>70</w:t>
            </w:r>
            <w:r>
              <w:rPr>
                <w:rFonts w:hint="default" w:ascii="宋体" w:hAnsi="宋体" w:eastAsia="宋体"/>
                <w:b w:val="0"/>
                <w:i w:val="0"/>
                <w:color w:val="000000"/>
                <w:sz w:val="18"/>
                <w:u w:val="none"/>
                <w:lang w:eastAsia="zh-CN"/>
              </w:rPr>
              <w:t>%以上</w:t>
            </w: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批捕准确率和有罪判决率达到50%以上</w:t>
            </w:r>
          </w:p>
        </w:tc>
        <w:tc>
          <w:tcPr>
            <w:tcW w:w="76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批捕准确率和有罪判决率达到50%以</w:t>
            </w:r>
            <w:r>
              <w:rPr>
                <w:rFonts w:hint="eastAsia" w:ascii="宋体" w:hAnsi="宋体"/>
                <w:b w:val="0"/>
                <w:i w:val="0"/>
                <w:color w:val="000000"/>
                <w:sz w:val="18"/>
                <w:u w:val="none"/>
                <w:lang w:eastAsia="zh-CN"/>
              </w:rPr>
              <w:t>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60" w:hRule="atLeast"/>
        </w:trPr>
        <w:tc>
          <w:tcPr>
            <w:tcW w:w="37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43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03" w:type="dxa"/>
            <w:vMerge w:val="continue"/>
            <w:tcBorders>
              <w:top w:val="single" w:color="000000" w:sz="4" w:space="0"/>
              <w:bottom w:val="single" w:color="000000" w:sz="4" w:space="0"/>
            </w:tcBorders>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2447" w:type="dxa"/>
            <w:vMerge w:val="continue"/>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sz w:val="24"/>
              </w:rPr>
            </w:pPr>
          </w:p>
        </w:tc>
        <w:tc>
          <w:tcPr>
            <w:tcW w:w="52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150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60" w:hRule="atLeast"/>
        </w:trPr>
        <w:tc>
          <w:tcPr>
            <w:tcW w:w="37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43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603" w:type="dxa"/>
            <w:vMerge w:val="continue"/>
            <w:tcBorders>
              <w:top w:val="single" w:color="000000" w:sz="4" w:space="0"/>
              <w:bottom w:val="single" w:color="000000" w:sz="4" w:space="0"/>
            </w:tcBorders>
            <w:vAlign w:val="center"/>
          </w:tcPr>
          <w:p>
            <w:pPr>
              <w:autoSpaceDN w:val="0"/>
              <w:jc w:val="center"/>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2447" w:type="dxa"/>
            <w:vMerge w:val="continue"/>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sz w:val="24"/>
              </w:rPr>
            </w:pPr>
          </w:p>
        </w:tc>
        <w:tc>
          <w:tcPr>
            <w:tcW w:w="52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民事行政监督</w:t>
            </w:r>
          </w:p>
        </w:tc>
        <w:tc>
          <w:tcPr>
            <w:tcW w:w="150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依法对民事诉讼和行政诉讼实行法律监督，维护司法公正和司法权威，保障国家法律的统一正确实施</w:t>
            </w:r>
          </w:p>
        </w:tc>
        <w:tc>
          <w:tcPr>
            <w:tcW w:w="133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有效实施民事案件审判监督，维护司法公正和司法权威，保障国家法律的统一正确实施。</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民事申诉案件上级采纳率及检察建议采纳率</w:t>
            </w:r>
          </w:p>
        </w:tc>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民事申诉案件上级采纳率及检察建议采纳率均达到70%以上</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民事申诉案件上级采纳率及检察建议采纳率均达到</w:t>
            </w:r>
            <w:r>
              <w:rPr>
                <w:rFonts w:hint="eastAsia" w:ascii="宋体" w:hAnsi="宋体"/>
                <w:b w:val="0"/>
                <w:i w:val="0"/>
                <w:color w:val="000000"/>
                <w:sz w:val="18"/>
                <w:u w:val="none"/>
                <w:lang w:val="en-US" w:eastAsia="zh-CN"/>
              </w:rPr>
              <w:t>60</w:t>
            </w:r>
            <w:r>
              <w:rPr>
                <w:rFonts w:hint="default" w:ascii="宋体" w:hAnsi="宋体" w:eastAsia="宋体"/>
                <w:b w:val="0"/>
                <w:i w:val="0"/>
                <w:color w:val="000000"/>
                <w:sz w:val="18"/>
                <w:u w:val="none"/>
                <w:lang w:eastAsia="zh-CN"/>
              </w:rPr>
              <w:t>%以上</w:t>
            </w: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民事申诉案件上级采纳率及检察建议采纳率均达到</w:t>
            </w:r>
            <w:r>
              <w:rPr>
                <w:rFonts w:hint="eastAsia" w:ascii="宋体" w:hAnsi="宋体"/>
                <w:b w:val="0"/>
                <w:i w:val="0"/>
                <w:color w:val="000000"/>
                <w:sz w:val="18"/>
                <w:u w:val="none"/>
                <w:lang w:val="en-US" w:eastAsia="zh-CN"/>
              </w:rPr>
              <w:t>50</w:t>
            </w:r>
            <w:r>
              <w:rPr>
                <w:rFonts w:hint="default" w:ascii="宋体" w:hAnsi="宋体" w:eastAsia="宋体"/>
                <w:b w:val="0"/>
                <w:i w:val="0"/>
                <w:color w:val="000000"/>
                <w:sz w:val="18"/>
                <w:u w:val="none"/>
                <w:lang w:eastAsia="zh-CN"/>
              </w:rPr>
              <w:t>%以上</w:t>
            </w:r>
          </w:p>
        </w:tc>
        <w:tc>
          <w:tcPr>
            <w:tcW w:w="76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民事申诉案件上级采纳率及检察建议采纳率均达到</w:t>
            </w:r>
            <w:r>
              <w:rPr>
                <w:rFonts w:hint="eastAsia" w:ascii="宋体" w:hAnsi="宋体"/>
                <w:b w:val="0"/>
                <w:i w:val="0"/>
                <w:color w:val="000000"/>
                <w:sz w:val="18"/>
                <w:u w:val="none"/>
                <w:lang w:val="en-US" w:eastAsia="zh-CN"/>
              </w:rPr>
              <w:t>50%以下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60" w:hRule="atLeast"/>
        </w:trPr>
        <w:tc>
          <w:tcPr>
            <w:tcW w:w="37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54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43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603" w:type="dxa"/>
            <w:vMerge w:val="continue"/>
            <w:tcBorders>
              <w:top w:val="single" w:color="000000" w:sz="4" w:space="0"/>
              <w:bottom w:val="single" w:color="000000" w:sz="4" w:space="0"/>
            </w:tcBorders>
            <w:vAlign w:val="center"/>
          </w:tcPr>
          <w:p>
            <w:pPr>
              <w:autoSpaceDN w:val="0"/>
              <w:jc w:val="left"/>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2447" w:type="dxa"/>
            <w:vMerge w:val="continue"/>
            <w:tcBorders>
              <w:top w:val="single" w:color="000000" w:sz="4" w:space="0"/>
              <w:left w:val="single" w:color="000000" w:sz="4" w:space="0"/>
              <w:bottom w:val="single" w:color="000000" w:sz="4" w:space="0"/>
            </w:tcBorders>
            <w:vAlign w:val="center"/>
          </w:tcPr>
          <w:p>
            <w:pPr>
              <w:autoSpaceDN w:val="0"/>
              <w:jc w:val="left"/>
              <w:textAlignment w:val="center"/>
              <w:rPr>
                <w:rFonts w:hint="default" w:ascii="宋体" w:hAnsi="宋体"/>
                <w:sz w:val="24"/>
              </w:rPr>
            </w:pPr>
          </w:p>
        </w:tc>
        <w:tc>
          <w:tcPr>
            <w:tcW w:w="52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50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r>
    </w:tbl>
    <w:p>
      <w:pPr>
        <w:ind w:firstLine="640" w:firstLineChars="200"/>
        <w:jc w:val="left"/>
        <w:rPr>
          <w:rFonts w:hint="eastAsia" w:ascii="方正仿宋简体" w:hAnsi="Times New Roman" w:eastAsia="方正仿宋简体" w:cs="Times New Roman"/>
          <w:b/>
          <w:sz w:val="32"/>
          <w:szCs w:val="32"/>
        </w:rPr>
      </w:pPr>
    </w:p>
    <w:p>
      <w:pPr>
        <w:ind w:firstLine="640" w:firstLineChars="200"/>
        <w:jc w:val="left"/>
        <w:rPr>
          <w:rFonts w:hint="eastAsia" w:ascii="方正仿宋简体" w:hAnsi="Times New Roman" w:eastAsia="方正仿宋简体" w:cs="Times New Roman"/>
          <w:b/>
          <w:sz w:val="32"/>
          <w:szCs w:val="32"/>
        </w:rPr>
      </w:pPr>
    </w:p>
    <w:p>
      <w:pPr>
        <w:ind w:firstLine="640" w:firstLineChars="200"/>
        <w:jc w:val="left"/>
        <w:rPr>
          <w:rFonts w:hint="eastAsia" w:ascii="方正仿宋简体" w:hAnsi="Times New Roman" w:eastAsia="方正仿宋简体" w:cs="Times New Roman"/>
          <w:b/>
          <w:sz w:val="32"/>
          <w:szCs w:val="32"/>
        </w:rPr>
      </w:pPr>
    </w:p>
    <w:bookmarkEnd w:id="0"/>
    <w:p>
      <w:pPr>
        <w:autoSpaceDE w:val="0"/>
        <w:autoSpaceDN w:val="0"/>
        <w:adjustRightInd w:val="0"/>
        <w:jc w:val="left"/>
        <w:rPr>
          <w:rFonts w:ascii="宋体" w:cs="宋体"/>
          <w:kern w:val="0"/>
          <w:sz w:val="18"/>
          <w:szCs w:val="18"/>
          <w:lang w:val="zh-CN"/>
        </w:rPr>
      </w:pPr>
    </w:p>
    <w:p>
      <w:pPr>
        <w:numPr>
          <w:ilvl w:val="0"/>
          <w:numId w:val="1"/>
        </w:numPr>
        <w:ind w:firstLine="640"/>
        <w:rPr>
          <w:rFonts w:hint="eastAsia" w:ascii="黑体" w:hAnsi="黑体" w:eastAsia="黑体" w:cs="Times New Roman"/>
          <w:sz w:val="32"/>
          <w:szCs w:val="32"/>
        </w:rPr>
      </w:pPr>
      <w:r>
        <w:rPr>
          <w:rFonts w:hint="eastAsia" w:ascii="黑体" w:hAnsi="黑体" w:eastAsia="黑体" w:cs="Times New Roman"/>
          <w:sz w:val="32"/>
          <w:szCs w:val="32"/>
        </w:rPr>
        <w:t>政府采购预算情况</w:t>
      </w:r>
    </w:p>
    <w:tbl>
      <w:tblPr>
        <w:tblStyle w:val="11"/>
        <w:tblW w:w="153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9"/>
        <w:gridCol w:w="1162"/>
        <w:gridCol w:w="965"/>
        <w:gridCol w:w="1054"/>
        <w:gridCol w:w="964"/>
        <w:gridCol w:w="964"/>
        <w:gridCol w:w="986"/>
        <w:gridCol w:w="964"/>
        <w:gridCol w:w="964"/>
        <w:gridCol w:w="964"/>
        <w:gridCol w:w="964"/>
        <w:gridCol w:w="964"/>
        <w:gridCol w:w="964"/>
        <w:gridCol w:w="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664"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p>
        </w:tc>
        <w:tc>
          <w:tcPr>
            <w:tcW w:w="66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73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6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05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96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96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8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693" w:type="dxa"/>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56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62"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65" w:type="dxa"/>
            <w:vMerge w:val="continue"/>
            <w:shd w:val="clear" w:color="auto" w:fill="auto"/>
            <w:vAlign w:val="center"/>
          </w:tcPr>
          <w:p>
            <w:pPr>
              <w:spacing w:line="300" w:lineRule="exact"/>
              <w:jc w:val="left"/>
              <w:outlineLvl w:val="0"/>
            </w:pPr>
          </w:p>
        </w:tc>
        <w:tc>
          <w:tcPr>
            <w:tcW w:w="1054" w:type="dxa"/>
            <w:vMerge w:val="continue"/>
            <w:shd w:val="clear" w:color="auto" w:fill="auto"/>
            <w:vAlign w:val="center"/>
          </w:tcPr>
          <w:p>
            <w:pPr>
              <w:spacing w:line="300" w:lineRule="exact"/>
              <w:jc w:val="left"/>
              <w:outlineLvl w:val="0"/>
            </w:pPr>
          </w:p>
        </w:tc>
        <w:tc>
          <w:tcPr>
            <w:tcW w:w="964" w:type="dxa"/>
            <w:vMerge w:val="continue"/>
            <w:shd w:val="clear" w:color="auto" w:fill="auto"/>
            <w:vAlign w:val="center"/>
          </w:tcPr>
          <w:p>
            <w:pPr>
              <w:spacing w:line="300" w:lineRule="exact"/>
              <w:jc w:val="left"/>
              <w:outlineLvl w:val="0"/>
            </w:pPr>
          </w:p>
        </w:tc>
        <w:tc>
          <w:tcPr>
            <w:tcW w:w="964" w:type="dxa"/>
            <w:vMerge w:val="continue"/>
            <w:shd w:val="clear" w:color="auto" w:fill="auto"/>
            <w:vAlign w:val="center"/>
          </w:tcPr>
          <w:p>
            <w:pPr>
              <w:spacing w:line="300" w:lineRule="exact"/>
              <w:jc w:val="left"/>
              <w:outlineLvl w:val="0"/>
            </w:pPr>
          </w:p>
        </w:tc>
        <w:tc>
          <w:tcPr>
            <w:tcW w:w="986" w:type="dxa"/>
            <w:vMerge w:val="continue"/>
            <w:shd w:val="clear" w:color="auto" w:fill="auto"/>
            <w:vAlign w:val="center"/>
          </w:tcPr>
          <w:p>
            <w:pPr>
              <w:spacing w:line="300" w:lineRule="exact"/>
              <w:jc w:val="left"/>
              <w:outlineLvl w:val="0"/>
            </w:pPr>
          </w:p>
        </w:tc>
        <w:tc>
          <w:tcPr>
            <w:tcW w:w="96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820"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9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569" w:type="dxa"/>
            <w:vMerge w:val="continue"/>
            <w:shd w:val="clear" w:color="auto" w:fill="auto"/>
            <w:vAlign w:val="center"/>
          </w:tcPr>
          <w:p>
            <w:pPr>
              <w:spacing w:line="300" w:lineRule="exact"/>
              <w:jc w:val="left"/>
              <w:outlineLvl w:val="0"/>
            </w:pPr>
          </w:p>
        </w:tc>
        <w:tc>
          <w:tcPr>
            <w:tcW w:w="1162" w:type="dxa"/>
            <w:vMerge w:val="continue"/>
            <w:shd w:val="clear" w:color="auto" w:fill="auto"/>
            <w:vAlign w:val="center"/>
          </w:tcPr>
          <w:p>
            <w:pPr>
              <w:spacing w:line="300" w:lineRule="exact"/>
              <w:jc w:val="left"/>
              <w:outlineLvl w:val="0"/>
            </w:pPr>
          </w:p>
        </w:tc>
        <w:tc>
          <w:tcPr>
            <w:tcW w:w="965" w:type="dxa"/>
            <w:vMerge w:val="continue"/>
            <w:shd w:val="clear" w:color="auto" w:fill="auto"/>
            <w:vAlign w:val="center"/>
          </w:tcPr>
          <w:p>
            <w:pPr>
              <w:spacing w:line="300" w:lineRule="exact"/>
              <w:jc w:val="left"/>
              <w:outlineLvl w:val="0"/>
            </w:pPr>
          </w:p>
        </w:tc>
        <w:tc>
          <w:tcPr>
            <w:tcW w:w="1054" w:type="dxa"/>
            <w:vMerge w:val="continue"/>
            <w:shd w:val="clear" w:color="auto" w:fill="auto"/>
            <w:vAlign w:val="center"/>
          </w:tcPr>
          <w:p>
            <w:pPr>
              <w:spacing w:line="300" w:lineRule="exact"/>
              <w:jc w:val="left"/>
              <w:outlineLvl w:val="0"/>
            </w:pPr>
          </w:p>
        </w:tc>
        <w:tc>
          <w:tcPr>
            <w:tcW w:w="964" w:type="dxa"/>
            <w:vMerge w:val="continue"/>
            <w:shd w:val="clear" w:color="auto" w:fill="auto"/>
            <w:vAlign w:val="center"/>
          </w:tcPr>
          <w:p>
            <w:pPr>
              <w:spacing w:line="300" w:lineRule="exact"/>
              <w:jc w:val="left"/>
              <w:outlineLvl w:val="0"/>
            </w:pPr>
          </w:p>
        </w:tc>
        <w:tc>
          <w:tcPr>
            <w:tcW w:w="964" w:type="dxa"/>
            <w:vMerge w:val="continue"/>
            <w:shd w:val="clear" w:color="auto" w:fill="auto"/>
            <w:vAlign w:val="center"/>
          </w:tcPr>
          <w:p>
            <w:pPr>
              <w:spacing w:line="300" w:lineRule="exact"/>
              <w:jc w:val="left"/>
              <w:outlineLvl w:val="0"/>
            </w:pPr>
          </w:p>
        </w:tc>
        <w:tc>
          <w:tcPr>
            <w:tcW w:w="986" w:type="dxa"/>
            <w:vMerge w:val="continue"/>
            <w:shd w:val="clear" w:color="auto" w:fill="auto"/>
            <w:vAlign w:val="center"/>
          </w:tcPr>
          <w:p>
            <w:pPr>
              <w:spacing w:line="300" w:lineRule="exact"/>
              <w:jc w:val="left"/>
              <w:outlineLvl w:val="0"/>
            </w:pPr>
          </w:p>
        </w:tc>
        <w:tc>
          <w:tcPr>
            <w:tcW w:w="964" w:type="dxa"/>
            <w:vMerge w:val="continue"/>
            <w:shd w:val="clear" w:color="auto" w:fill="auto"/>
            <w:vAlign w:val="center"/>
          </w:tcPr>
          <w:p>
            <w:pPr>
              <w:spacing w:line="300" w:lineRule="exact"/>
              <w:jc w:val="left"/>
              <w:outlineLvl w:val="0"/>
            </w:pPr>
          </w:p>
        </w:tc>
        <w:tc>
          <w:tcPr>
            <w:tcW w:w="96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6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6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6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909"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秦皇岛北戴河新区人民检察院小计</w:t>
            </w:r>
          </w:p>
        </w:tc>
        <w:tc>
          <w:tcPr>
            <w:tcW w:w="1162" w:type="dxa"/>
            <w:shd w:val="clear" w:color="auto" w:fill="auto"/>
            <w:vAlign w:val="center"/>
          </w:tcPr>
          <w:p>
            <w:pPr>
              <w:spacing w:line="300" w:lineRule="exact"/>
              <w:jc w:val="right"/>
              <w:rPr>
                <w:rFonts w:ascii="方正书宋_GBK" w:eastAsia="方正书宋_GBK"/>
                <w:b/>
              </w:rPr>
            </w:pPr>
          </w:p>
        </w:tc>
        <w:tc>
          <w:tcPr>
            <w:tcW w:w="965" w:type="dxa"/>
            <w:shd w:val="clear" w:color="auto" w:fill="auto"/>
            <w:vAlign w:val="center"/>
          </w:tcPr>
          <w:p>
            <w:pPr>
              <w:spacing w:line="300" w:lineRule="exact"/>
              <w:jc w:val="left"/>
              <w:rPr>
                <w:rFonts w:ascii="方正书宋_GBK" w:eastAsia="方正书宋_GBK"/>
                <w:b/>
              </w:rPr>
            </w:pPr>
          </w:p>
        </w:tc>
        <w:tc>
          <w:tcPr>
            <w:tcW w:w="1054" w:type="dxa"/>
            <w:shd w:val="clear" w:color="auto" w:fill="auto"/>
            <w:vAlign w:val="center"/>
          </w:tcPr>
          <w:p>
            <w:pPr>
              <w:spacing w:line="300" w:lineRule="exact"/>
              <w:jc w:val="left"/>
              <w:rPr>
                <w:rFonts w:ascii="方正书宋_GBK" w:eastAsia="方正书宋_GBK"/>
                <w:b/>
              </w:rPr>
            </w:pPr>
          </w:p>
        </w:tc>
        <w:tc>
          <w:tcPr>
            <w:tcW w:w="964" w:type="dxa"/>
            <w:shd w:val="clear" w:color="auto" w:fill="auto"/>
            <w:vAlign w:val="center"/>
          </w:tcPr>
          <w:p>
            <w:pPr>
              <w:spacing w:line="300" w:lineRule="exact"/>
              <w:jc w:val="left"/>
              <w:rPr>
                <w:rFonts w:ascii="方正书宋_GBK" w:eastAsia="方正书宋_GBK"/>
                <w:b/>
              </w:rPr>
            </w:pPr>
          </w:p>
        </w:tc>
        <w:tc>
          <w:tcPr>
            <w:tcW w:w="964" w:type="dxa"/>
            <w:shd w:val="clear" w:color="auto" w:fill="auto"/>
            <w:vAlign w:val="center"/>
          </w:tcPr>
          <w:p>
            <w:pPr>
              <w:spacing w:line="300" w:lineRule="exact"/>
              <w:jc w:val="right"/>
              <w:rPr>
                <w:rFonts w:ascii="方正书宋_GBK" w:eastAsia="方正书宋_GBK"/>
                <w:b/>
              </w:rPr>
            </w:pPr>
          </w:p>
        </w:tc>
        <w:tc>
          <w:tcPr>
            <w:tcW w:w="986" w:type="dxa"/>
            <w:shd w:val="clear" w:color="auto" w:fill="auto"/>
            <w:vAlign w:val="center"/>
          </w:tcPr>
          <w:p>
            <w:pPr>
              <w:spacing w:line="300" w:lineRule="exact"/>
              <w:jc w:val="right"/>
              <w:rPr>
                <w:rFonts w:ascii="方正书宋_GBK" w:eastAsia="方正书宋_GBK"/>
                <w:b/>
              </w:rPr>
            </w:pPr>
          </w:p>
        </w:tc>
        <w:tc>
          <w:tcPr>
            <w:tcW w:w="964" w:type="dxa"/>
            <w:shd w:val="clear" w:color="auto" w:fill="auto"/>
            <w:vAlign w:val="center"/>
          </w:tcPr>
          <w:p>
            <w:pPr>
              <w:spacing w:line="300" w:lineRule="exact"/>
              <w:jc w:val="right"/>
              <w:rPr>
                <w:rFonts w:ascii="方正书宋_GBK" w:eastAsia="方正书宋_GBK"/>
                <w:b/>
              </w:rPr>
            </w:pPr>
            <w:r>
              <w:rPr>
                <w:rFonts w:ascii="方正书宋_GBK" w:eastAsia="方正书宋_GBK"/>
                <w:b/>
              </w:rPr>
              <w:t>15.50</w:t>
            </w:r>
          </w:p>
        </w:tc>
        <w:tc>
          <w:tcPr>
            <w:tcW w:w="964" w:type="dxa"/>
            <w:shd w:val="clear" w:color="auto" w:fill="auto"/>
            <w:vAlign w:val="center"/>
          </w:tcPr>
          <w:p>
            <w:pPr>
              <w:spacing w:line="300" w:lineRule="exact"/>
              <w:jc w:val="right"/>
              <w:rPr>
                <w:rFonts w:ascii="方正书宋_GBK" w:eastAsia="方正书宋_GBK"/>
                <w:b/>
              </w:rPr>
            </w:pPr>
            <w:r>
              <w:rPr>
                <w:rFonts w:ascii="方正书宋_GBK" w:eastAsia="方正书宋_GBK"/>
                <w:b/>
              </w:rPr>
              <w:t>15.50</w:t>
            </w:r>
          </w:p>
        </w:tc>
        <w:tc>
          <w:tcPr>
            <w:tcW w:w="964" w:type="dxa"/>
            <w:shd w:val="clear" w:color="auto" w:fill="auto"/>
            <w:vAlign w:val="center"/>
          </w:tcPr>
          <w:p>
            <w:pPr>
              <w:spacing w:line="300" w:lineRule="exact"/>
              <w:jc w:val="right"/>
              <w:rPr>
                <w:rFonts w:ascii="方正书宋_GBK" w:eastAsia="方正书宋_GBK"/>
                <w:b/>
              </w:rPr>
            </w:pPr>
            <w:r>
              <w:rPr>
                <w:rFonts w:ascii="方正书宋_GBK" w:eastAsia="方正书宋_GBK"/>
                <w:b/>
              </w:rPr>
              <w:t>15.50</w:t>
            </w:r>
          </w:p>
        </w:tc>
        <w:tc>
          <w:tcPr>
            <w:tcW w:w="964" w:type="dxa"/>
            <w:shd w:val="clear" w:color="auto" w:fill="auto"/>
            <w:vAlign w:val="center"/>
          </w:tcPr>
          <w:p>
            <w:pPr>
              <w:spacing w:line="300" w:lineRule="exact"/>
              <w:jc w:val="right"/>
              <w:rPr>
                <w:rFonts w:ascii="方正书宋_GBK" w:eastAsia="方正书宋_GBK"/>
                <w:b/>
              </w:rPr>
            </w:pPr>
          </w:p>
        </w:tc>
        <w:tc>
          <w:tcPr>
            <w:tcW w:w="964" w:type="dxa"/>
            <w:shd w:val="clear" w:color="auto" w:fill="auto"/>
            <w:vAlign w:val="center"/>
          </w:tcPr>
          <w:p>
            <w:pPr>
              <w:spacing w:line="300" w:lineRule="exact"/>
              <w:jc w:val="right"/>
              <w:rPr>
                <w:rFonts w:ascii="方正书宋_GBK" w:eastAsia="方正书宋_GBK"/>
                <w:b/>
              </w:rPr>
            </w:pPr>
          </w:p>
        </w:tc>
        <w:tc>
          <w:tcPr>
            <w:tcW w:w="964" w:type="dxa"/>
            <w:shd w:val="clear" w:color="auto" w:fill="auto"/>
            <w:vAlign w:val="center"/>
          </w:tcPr>
          <w:p>
            <w:pPr>
              <w:spacing w:line="300" w:lineRule="exact"/>
              <w:jc w:val="right"/>
              <w:rPr>
                <w:rFonts w:ascii="方正书宋_GBK" w:eastAsia="方正书宋_GBK"/>
                <w:b/>
              </w:rPr>
            </w:pPr>
          </w:p>
        </w:tc>
        <w:tc>
          <w:tcPr>
            <w:tcW w:w="909"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6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62" w:type="dxa"/>
            <w:shd w:val="clear" w:color="auto" w:fill="auto"/>
            <w:vAlign w:val="center"/>
          </w:tcPr>
          <w:p>
            <w:pPr>
              <w:spacing w:line="300" w:lineRule="exact"/>
              <w:jc w:val="right"/>
              <w:rPr>
                <w:rFonts w:ascii="方正书宋_GBK" w:eastAsia="方正书宋_GBK"/>
              </w:rPr>
            </w:pPr>
            <w:r>
              <w:rPr>
                <w:rFonts w:ascii="方正书宋_GBK" w:eastAsia="方正书宋_GBK"/>
              </w:rPr>
              <w:t>146.78</w:t>
            </w:r>
          </w:p>
        </w:tc>
        <w:tc>
          <w:tcPr>
            <w:tcW w:w="96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煤炭采选产品</w:t>
            </w:r>
          </w:p>
        </w:tc>
        <w:tc>
          <w:tcPr>
            <w:tcW w:w="1054" w:type="dxa"/>
            <w:shd w:val="clear" w:color="auto" w:fill="auto"/>
            <w:vAlign w:val="center"/>
          </w:tcPr>
          <w:p>
            <w:pPr>
              <w:spacing w:line="300" w:lineRule="exact"/>
              <w:jc w:val="left"/>
              <w:rPr>
                <w:rFonts w:ascii="方正书宋_GBK" w:eastAsia="方正书宋_GBK"/>
              </w:rPr>
            </w:pPr>
            <w:r>
              <w:rPr>
                <w:rFonts w:ascii="方正书宋_GBK" w:eastAsia="方正书宋_GBK"/>
              </w:rPr>
              <w:t>A1301</w:t>
            </w:r>
          </w:p>
        </w:tc>
        <w:tc>
          <w:tcPr>
            <w:tcW w:w="964" w:type="dxa"/>
            <w:shd w:val="clear" w:color="auto" w:fill="auto"/>
            <w:vAlign w:val="center"/>
          </w:tcPr>
          <w:p>
            <w:pPr>
              <w:spacing w:line="300" w:lineRule="exact"/>
              <w:jc w:val="lef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r>
              <w:rPr>
                <w:rFonts w:ascii="方正书宋_GBK" w:eastAsia="方正书宋_GBK"/>
              </w:rPr>
              <w:t>155</w:t>
            </w:r>
          </w:p>
        </w:tc>
        <w:tc>
          <w:tcPr>
            <w:tcW w:w="986"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964" w:type="dxa"/>
            <w:shd w:val="clear" w:color="auto" w:fill="auto"/>
            <w:vAlign w:val="center"/>
          </w:tcPr>
          <w:p>
            <w:pPr>
              <w:spacing w:line="300" w:lineRule="exact"/>
              <w:jc w:val="right"/>
              <w:rPr>
                <w:rFonts w:ascii="方正书宋_GBK" w:eastAsia="方正书宋_GBK"/>
              </w:rPr>
            </w:pPr>
            <w:r>
              <w:rPr>
                <w:rFonts w:ascii="方正书宋_GBK" w:eastAsia="方正书宋_GBK"/>
              </w:rPr>
              <w:t>15.50</w:t>
            </w:r>
          </w:p>
        </w:tc>
        <w:tc>
          <w:tcPr>
            <w:tcW w:w="964" w:type="dxa"/>
            <w:shd w:val="clear" w:color="auto" w:fill="auto"/>
            <w:vAlign w:val="center"/>
          </w:tcPr>
          <w:p>
            <w:pPr>
              <w:spacing w:line="300" w:lineRule="exact"/>
              <w:jc w:val="right"/>
              <w:rPr>
                <w:rFonts w:ascii="方正书宋_GBK" w:eastAsia="方正书宋_GBK"/>
              </w:rPr>
            </w:pPr>
            <w:r>
              <w:rPr>
                <w:rFonts w:ascii="方正书宋_GBK" w:eastAsia="方正书宋_GBK"/>
              </w:rPr>
              <w:t>15.50</w:t>
            </w:r>
          </w:p>
        </w:tc>
        <w:tc>
          <w:tcPr>
            <w:tcW w:w="964" w:type="dxa"/>
            <w:shd w:val="clear" w:color="auto" w:fill="auto"/>
            <w:vAlign w:val="center"/>
          </w:tcPr>
          <w:p>
            <w:pPr>
              <w:spacing w:line="300" w:lineRule="exact"/>
              <w:jc w:val="right"/>
              <w:rPr>
                <w:rFonts w:ascii="方正书宋_GBK" w:eastAsia="方正书宋_GBK"/>
              </w:rPr>
            </w:pPr>
            <w:r>
              <w:rPr>
                <w:rFonts w:ascii="方正书宋_GBK" w:eastAsia="方正书宋_GBK"/>
              </w:rPr>
              <w:t>15.50</w:t>
            </w:r>
          </w:p>
        </w:tc>
        <w:tc>
          <w:tcPr>
            <w:tcW w:w="964"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09" w:type="dxa"/>
            <w:shd w:val="clear" w:color="auto" w:fill="auto"/>
            <w:vAlign w:val="center"/>
          </w:tcPr>
          <w:p>
            <w:pPr>
              <w:spacing w:line="300" w:lineRule="exact"/>
              <w:jc w:val="right"/>
              <w:rPr>
                <w:rFonts w:ascii="方正书宋_GBK" w:eastAsia="方正书宋_GBK"/>
              </w:rPr>
            </w:pPr>
          </w:p>
        </w:tc>
      </w:tr>
    </w:tbl>
    <w:p>
      <w:pPr>
        <w:numPr>
          <w:ilvl w:val="0"/>
          <w:numId w:val="0"/>
        </w:numPr>
        <w:rPr>
          <w:rFonts w:hint="eastAsia" w:ascii="黑体" w:hAnsi="黑体" w:eastAsia="黑体" w:cs="Times New Roman"/>
          <w:sz w:val="32"/>
          <w:szCs w:val="32"/>
        </w:rPr>
      </w:pPr>
    </w:p>
    <w:p>
      <w:pPr>
        <w:ind w:firstLine="640"/>
        <w:rPr>
          <w:rFonts w:ascii="黑体" w:hAnsi="黑体" w:eastAsia="黑体" w:cs="Times New Roman"/>
          <w:sz w:val="32"/>
          <w:szCs w:val="32"/>
        </w:rPr>
      </w:pPr>
      <w:commentRangeStart w:id="2"/>
      <w:r>
        <w:rPr>
          <w:rFonts w:hint="eastAsia" w:ascii="黑体" w:hAnsi="黑体" w:eastAsia="黑体" w:cs="Times New Roman"/>
          <w:sz w:val="32"/>
          <w:szCs w:val="32"/>
        </w:rPr>
        <w:t>七、国有资产信息</w:t>
      </w:r>
      <w:commentRangeEnd w:id="2"/>
      <w:r>
        <w:rPr>
          <w:rFonts w:ascii="黑体" w:hAnsi="黑体" w:eastAsia="黑体" w:cs="Times New Roman"/>
          <w:sz w:val="32"/>
          <w:szCs w:val="32"/>
        </w:rPr>
        <w:commentReference w:id="2"/>
      </w:r>
    </w:p>
    <w:p>
      <w:pPr>
        <w:autoSpaceDE w:val="0"/>
        <w:autoSpaceDN w:val="0"/>
        <w:adjustRightInd w:val="0"/>
        <w:ind w:left="420" w:leftChars="200" w:firstLine="640" w:firstLineChars="200"/>
        <w:jc w:val="left"/>
        <w:rPr>
          <w:rFonts w:hint="eastAsia"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上年末固定资产金额为</w:t>
      </w:r>
      <w:r>
        <w:rPr>
          <w:rFonts w:hint="eastAsia" w:ascii="方正仿宋简体" w:hAnsi="Times New Roman" w:eastAsia="方正仿宋简体" w:cs="Times New Roman"/>
          <w:sz w:val="32"/>
          <w:szCs w:val="24"/>
          <w:lang w:val="en-US" w:eastAsia="zh-CN"/>
        </w:rPr>
        <w:t>250.88</w:t>
      </w:r>
      <w:r>
        <w:rPr>
          <w:rFonts w:hint="eastAsia" w:ascii="方正仿宋简体" w:hAnsi="Times New Roman" w:eastAsia="方正仿宋简体" w:cs="Times New Roman"/>
          <w:sz w:val="32"/>
          <w:szCs w:val="24"/>
        </w:rPr>
        <w:t>万元。</w:t>
      </w:r>
    </w:p>
    <w:p>
      <w:pPr>
        <w:autoSpaceDE w:val="0"/>
        <w:autoSpaceDN w:val="0"/>
        <w:adjustRightInd w:val="0"/>
        <w:ind w:left="420" w:leftChars="200" w:firstLine="640" w:firstLineChars="200"/>
        <w:jc w:val="left"/>
        <w:rPr>
          <w:rFonts w:hint="eastAsia" w:ascii="方正仿宋简体" w:hAnsi="Times New Roman" w:eastAsia="方正仿宋简体" w:cs="Times New Roman"/>
          <w:sz w:val="32"/>
          <w:szCs w:val="24"/>
        </w:rPr>
      </w:pPr>
    </w:p>
    <w:p>
      <w:pPr>
        <w:ind w:firstLine="640"/>
        <w:rPr>
          <w:rFonts w:ascii="仿宋_GB2312" w:hAnsi="黑体" w:eastAsia="仿宋_GB2312" w:cs="Times New Roman"/>
          <w:color w:val="FF0000"/>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八、名词解释</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1、一般预算收入：指区级财政当年拨付的资金。</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2、基本支出：指为保障机构正常运转、完成日常工作任务而发生的人员支出和公用支出。</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3、项目支出：指在基本支出之外为完成特定行政任务和事业发展目标所发生的支出。</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ind w:firstLine="64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无。</w:t>
      </w:r>
    </w:p>
    <w:p>
      <w:pPr>
        <w:ind w:firstLine="640" w:firstLineChars="200"/>
        <w:rPr>
          <w:rFonts w:ascii="仿宋_GB2312" w:hAnsi="仿宋_GB2312" w:eastAsia="仿宋_GB2312" w:cs="仿宋_GB2312"/>
          <w:sz w:val="32"/>
          <w:szCs w:val="3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微软用户" w:date="2017-04-25T10:24:00Z" w:initials="微软用户">
    <w:p w14:paraId="3FB661FD">
      <w:pPr>
        <w:pStyle w:val="3"/>
      </w:pPr>
      <w:r>
        <w:rPr>
          <w:rFonts w:hint="eastAsia"/>
        </w:rPr>
        <w:t>根据编制预算时填报的形式填写</w:t>
      </w:r>
    </w:p>
  </w:comment>
  <w:comment w:id="1" w:author="czjysk" w:date="2017-04-26T10:36:00Z" w:initials="c">
    <w:p w14:paraId="0C4156B0">
      <w:pPr>
        <w:pStyle w:val="3"/>
      </w:pPr>
      <w:r>
        <w:t>此部分将完善后的职责活动列表中的信息填加进来。</w:t>
      </w:r>
    </w:p>
  </w:comment>
  <w:comment w:id="2" w:author="微软用户" w:date="2017-04-25T11:10:00Z" w:initials="微软用户">
    <w:p w14:paraId="418C1B43">
      <w:pPr>
        <w:pStyle w:val="3"/>
      </w:pPr>
      <w:r>
        <w:rPr>
          <w:rFonts w:hint="eastAsia"/>
        </w:rPr>
        <w:t>本部分为省级部门模板，各部门根据本部门实际情况修改。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B661FD" w15:done="0"/>
  <w15:commentEx w15:paraId="0C4156B0" w15:done="0"/>
  <w15:commentEx w15:paraId="418C1B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宋体"/>
    <w:panose1 w:val="00000000000000000000"/>
    <w:charset w:val="86"/>
    <w:family w:val="auto"/>
    <w:pitch w:val="default"/>
    <w:sig w:usb0="00000000" w:usb1="00000000" w:usb2="00000000" w:usb3="00000000" w:csb0="00040001" w:csb1="00000000"/>
  </w:font>
  <w:font w:name="方正黑体_GBK">
    <w:altName w:val="宋体"/>
    <w:panose1 w:val="00000000000000000000"/>
    <w:charset w:val="86"/>
    <w:family w:val="auto"/>
    <w:pitch w:val="default"/>
    <w:sig w:usb0="00000000" w:usb1="00000000" w:usb2="00000000" w:usb3="00000000" w:csb0="00040001"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80315"/>
    <w:multiLevelType w:val="singleLevel"/>
    <w:tmpl w:val="59080315"/>
    <w:lvl w:ilvl="0" w:tentative="0">
      <w:start w:val="6"/>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czjysk">
    <w15:presenceInfo w15:providerId="None" w15:userId="czjy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F3713F"/>
    <w:rsid w:val="0ED23D0E"/>
    <w:rsid w:val="2CEF0D36"/>
    <w:rsid w:val="34364526"/>
    <w:rsid w:val="41286063"/>
    <w:rsid w:val="6DB442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0"/>
    <w:rPr>
      <w:b/>
      <w:bCs/>
    </w:rPr>
  </w:style>
  <w:style w:type="paragraph" w:styleId="3">
    <w:name w:val="annotation text"/>
    <w:basedOn w:val="1"/>
    <w:link w:val="14"/>
    <w:unhideWhenUsed/>
    <w:qFormat/>
    <w:uiPriority w:val="0"/>
    <w:pPr>
      <w:jc w:val="left"/>
    </w:pPr>
  </w:style>
  <w:style w:type="paragraph" w:styleId="4">
    <w:name w:val="Balloon Text"/>
    <w:basedOn w:val="1"/>
    <w:link w:val="16"/>
    <w:unhideWhenUsed/>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1"/>
    <w:basedOn w:val="1"/>
    <w:next w:val="1"/>
    <w:qFormat/>
    <w:uiPriority w:val="0"/>
    <w:rPr>
      <w:rFonts w:ascii="Times New Roman" w:hAnsi="Times New Roman" w:cs="Times New Roman"/>
      <w:szCs w:val="24"/>
    </w:rPr>
  </w:style>
  <w:style w:type="paragraph" w:styleId="8">
    <w:name w:val="toc 2"/>
    <w:basedOn w:val="1"/>
    <w:next w:val="1"/>
    <w:qFormat/>
    <w:uiPriority w:val="0"/>
    <w:pPr>
      <w:ind w:left="420" w:leftChars="200"/>
    </w:pPr>
    <w:rPr>
      <w:rFonts w:ascii="Times New Roman" w:hAnsi="Times New Roman" w:cs="Times New Roman"/>
      <w:szCs w:val="24"/>
    </w:rPr>
  </w:style>
  <w:style w:type="character" w:styleId="10">
    <w:name w:val="annotation reference"/>
    <w:basedOn w:val="9"/>
    <w:unhideWhenUsed/>
    <w:qFormat/>
    <w:uiPriority w:val="0"/>
    <w:rPr>
      <w:sz w:val="21"/>
      <w:szCs w:val="21"/>
    </w:rPr>
  </w:style>
  <w:style w:type="character" w:customStyle="1" w:styleId="12">
    <w:name w:val="页眉 Char"/>
    <w:basedOn w:val="9"/>
    <w:link w:val="6"/>
    <w:qFormat/>
    <w:uiPriority w:val="0"/>
    <w:rPr>
      <w:rFonts w:ascii="Times New Roman" w:hAnsi="Times New Roman" w:eastAsia="宋体" w:cs="Times New Roman"/>
      <w:sz w:val="18"/>
      <w:szCs w:val="18"/>
    </w:rPr>
  </w:style>
  <w:style w:type="character" w:customStyle="1" w:styleId="13">
    <w:name w:val="页脚 Char"/>
    <w:basedOn w:val="9"/>
    <w:link w:val="5"/>
    <w:qFormat/>
    <w:uiPriority w:val="0"/>
    <w:rPr>
      <w:rFonts w:ascii="Times New Roman" w:hAnsi="Times New Roman" w:eastAsia="宋体" w:cs="Times New Roman"/>
      <w:sz w:val="18"/>
      <w:szCs w:val="18"/>
    </w:rPr>
  </w:style>
  <w:style w:type="character" w:customStyle="1" w:styleId="14">
    <w:name w:val="批注文字 Char"/>
    <w:basedOn w:val="9"/>
    <w:link w:val="3"/>
    <w:semiHidden/>
    <w:qFormat/>
    <w:uiPriority w:val="0"/>
    <w:rPr>
      <w:rFonts w:ascii="Calibri" w:hAnsi="Calibri" w:cs="黑体"/>
      <w:kern w:val="2"/>
      <w:sz w:val="21"/>
      <w:szCs w:val="22"/>
    </w:rPr>
  </w:style>
  <w:style w:type="character" w:customStyle="1" w:styleId="15">
    <w:name w:val="批注主题 Char"/>
    <w:basedOn w:val="14"/>
    <w:link w:val="2"/>
    <w:semiHidden/>
    <w:qFormat/>
    <w:uiPriority w:val="0"/>
    <w:rPr>
      <w:rFonts w:ascii="Calibri" w:hAnsi="Calibri" w:cs="黑体"/>
      <w:b/>
      <w:bCs/>
      <w:kern w:val="2"/>
      <w:sz w:val="21"/>
      <w:szCs w:val="22"/>
    </w:rPr>
  </w:style>
  <w:style w:type="character" w:customStyle="1" w:styleId="16">
    <w:name w:val="批注框文本 Char"/>
    <w:basedOn w:val="9"/>
    <w:link w:val="4"/>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290</Words>
  <Characters>1655</Characters>
  <Lines>13</Lines>
  <Paragraphs>3</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2017-04-25T03:22:00Z</dcterms:created>
  <dc:creator>guest</dc:creator>
  <cp:lastModifiedBy>dell</cp:lastModifiedBy>
  <cp:lastPrinted>2017-02-07T01:57:00Z</cp:lastPrinted>
  <dcterms:modified xsi:type="dcterms:W3CDTF">2017-10-27T06:20:18Z</dcterms:modified>
  <dc:title>河北省2017年部门预算信息公开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